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84"/>
        </w:tabs>
        <w:spacing w:after="0" w:line="240" w:lineRule="auto"/>
        <w:ind w:right="613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Příloha č. 9</w:t>
        <w:br w:type="textWrapping"/>
        <w:t xml:space="preserve">Smluvní pokuty </w:t>
      </w:r>
    </w:p>
    <w:p w:rsidR="00000000" w:rsidDel="00000000" w:rsidP="00000000" w:rsidRDefault="00000000" w:rsidRPr="00000000" w14:paraId="00000002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269" w:line="240" w:lineRule="auto"/>
        <w:ind w:left="136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Článek I</w:t>
        <w:br w:type="textWrapping"/>
        <w:t xml:space="preserve">Smluvní pokuty RADYNET</w:t>
        <w:br w:type="textWrapping"/>
      </w:r>
    </w:p>
    <w:p w:rsidR="00000000" w:rsidDel="00000000" w:rsidP="00000000" w:rsidRDefault="00000000" w:rsidRPr="00000000" w14:paraId="00000004">
      <w:pPr>
        <w:widowControl w:val="0"/>
        <w:spacing w:after="0" w:before="11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88" w:lineRule="auto"/>
        <w:ind w:right="108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Partner je oprávněn fakturovat RADYNET následující smluvní pokuty, pokud součet vypočtených pokut přesáhne výši 100.- Kč bez DPH :</w:t>
        <w:br w:type="textWrapping"/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 nedodržení minimální měsíční dostupnosti objednávkového systému.</w:t>
        <w:br w:type="textWrapping"/>
        <w:t xml:space="preserve">V případě, že RADYNET nedodrží minimální měsíční dostupnosti objednávkového systému, tak se zavazuje vyplatit Partnerovi, který jej upozorní na tuto skutečnost sankci ve výši 100.- Kč za každý den, kdy došlo k překročení minimální měsíční dostupnosti objednávkového systému.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 nedodržení maximální doby opravy Služby. V případě, že RADYNET překročí maximální dobu opravy Služby, Partner je oprávněn fakturovat RADYNET sankci ve výši 1/30 měsíční ceny Služby za každý překročený den maximálního dne opravy Služby.</w:t>
        <w:br w:type="textWrapping"/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pro poskytnutí informace o volných kapacitách Služby ve výši 1/30 měsíční ceny Služby.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pro zřízení Služby ve výši  1/30 měsíční ceny Služby.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pro změnu poskytovatele Služby  ve výši  1/30 měsíční ceny Služby.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pro změnu typu velkoobchodní služby (migrace) poskytovatele Služby ve výši  1/30 měsíční ceny Služby.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pro dobu opravy předávacího rozhraní služeb a dostupnosti rozhraní Služeb ve výši  1/30 měsíční ceny Služby.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pro dobu opravy předávacího rozhraní služeb a dostupnosti rozhraní Služeb ve výši  1/30 měsíční ceny Služby.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63" w:line="309" w:lineRule="auto"/>
        <w:ind w:left="720" w:right="227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spacing w:after="0" w:before="63" w:line="309" w:lineRule="auto"/>
        <w:ind w:left="720" w:right="227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Denní sankci za nedodržení maximální doby poskytnutí informace o volné kapacitě pasivní infrastruktury a nenasvícených vláken ve výši  1/30 měsíční ceny Služby.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before="269" w:line="240" w:lineRule="auto"/>
        <w:ind w:left="136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Článek II</w:t>
        <w:br w:type="textWrapping"/>
        <w:t xml:space="preserve">Smluvní pokuty Partnera</w:t>
        <w:br w:type="textWrapping"/>
      </w:r>
    </w:p>
    <w:p w:rsidR="00000000" w:rsidDel="00000000" w:rsidP="00000000" w:rsidRDefault="00000000" w:rsidRPr="00000000" w14:paraId="00000012">
      <w:pPr>
        <w:spacing w:after="0" w:line="288" w:lineRule="auto"/>
        <w:ind w:right="108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RADYNET</w:t>
      </w:r>
      <w:r w:rsidDel="00000000" w:rsidR="00000000" w:rsidRPr="00000000">
        <w:rPr>
          <w:rFonts w:ascii="Arial" w:cs="Arial" w:eastAsia="Arial" w:hAnsi="Arial"/>
          <w:rtl w:val="0"/>
        </w:rPr>
        <w:t xml:space="preserve"> je oprávněn fakturovat Partnerovi následující smluvní pokuty, pokud součet vypočtených pokut přesáhne výši 100.- Kč bez DPH :</w:t>
      </w:r>
    </w:p>
    <w:p w:rsidR="00000000" w:rsidDel="00000000" w:rsidP="00000000" w:rsidRDefault="00000000" w:rsidRPr="00000000" w14:paraId="00000013">
      <w:pPr>
        <w:spacing w:after="0" w:line="288" w:lineRule="auto"/>
        <w:ind w:right="108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63" w:line="309" w:lineRule="auto"/>
        <w:ind w:left="720" w:right="227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 nedodržení připojení KZP na definovaném „bílém místě“ nebo nedodržení minimálních rychlostí služby dle Smlouvy viz. odst. 7, bod.7.6 pro každý jednotlivý případ porušení jednorázovou pokutu 5000.- Kč. </w:t>
        <w:br w:type="textWrapping"/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0" w:before="63" w:line="309" w:lineRule="auto"/>
        <w:ind w:left="720" w:right="227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 nedodržení závazku součinnosti při měření dle Smlouvy odst. 7, bod.7.7 pro každý jednotlivý případ porušení jednorázovou pokutu 5000.- Kč.</w:t>
        <w:br w:type="textWrapping"/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after="0" w:before="63" w:line="309" w:lineRule="auto"/>
        <w:ind w:left="720" w:right="227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Za nedodržení minimálního souboru SLA,  dle Smlouvy odst. 7, bod.7.8 pro každý jednotlivý případ porušení jednorázovou pokutu 5000.- Kč</w:t>
        <w:br w:type="textWrapping"/>
      </w:r>
    </w:p>
    <w:p w:rsidR="00000000" w:rsidDel="00000000" w:rsidP="00000000" w:rsidRDefault="00000000" w:rsidRPr="00000000" w14:paraId="00000017">
      <w:pPr>
        <w:widowControl w:val="0"/>
        <w:spacing w:after="0" w:before="63" w:line="309" w:lineRule="auto"/>
        <w:ind w:left="720" w:right="227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before="63" w:line="309" w:lineRule="auto"/>
        <w:ind w:left="709" w:right="227" w:firstLine="0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Článek III</w:t>
        <w:br w:type="textWrapping"/>
        <w:t xml:space="preserve">Platební podmínky smluvních pokut</w:t>
        <w:br w:type="textWrapping"/>
      </w:r>
    </w:p>
    <w:p w:rsidR="00000000" w:rsidDel="00000000" w:rsidP="00000000" w:rsidRDefault="00000000" w:rsidRPr="00000000" w14:paraId="00000019">
      <w:pPr>
        <w:spacing w:after="0" w:line="288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Platební podmínky smluvních pokud se řídí Přílohou č. 8 – Platební podmínky Smlouvy.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before="63" w:line="309" w:lineRule="auto"/>
        <w:ind w:right="227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284"/>
        </w:tabs>
        <w:spacing w:after="0" w:line="240" w:lineRule="auto"/>
        <w:ind w:right="613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284"/>
        </w:tabs>
        <w:spacing w:after="0" w:line="240" w:lineRule="auto"/>
        <w:ind w:right="613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284"/>
        </w:tabs>
        <w:spacing w:after="0" w:line="240" w:lineRule="auto"/>
        <w:ind w:right="61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</w:r>
    </w:p>
    <w:p w:rsidR="00000000" w:rsidDel="00000000" w:rsidP="00000000" w:rsidRDefault="00000000" w:rsidRPr="00000000" w14:paraId="0000001E">
      <w:pPr>
        <w:tabs>
          <w:tab w:val="left" w:leader="none" w:pos="284"/>
        </w:tabs>
        <w:spacing w:after="0" w:line="240" w:lineRule="auto"/>
        <w:ind w:right="613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  <w:br w:type="textWrapping"/>
        <w:br w:type="textWrapping"/>
        <w:t xml:space="preserve">za Radynet, s.r.o.</w:t>
        <w:tab/>
        <w:tab/>
        <w:tab/>
        <w:tab/>
        <w:tab/>
        <w:tab/>
        <w:t xml:space="preserve">za Partnera :</w:t>
        <w:br w:type="textWrapping"/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eo Sans Std"/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072.0" w:type="dxa"/>
      <w:jc w:val="left"/>
      <w:tblInd w:w="-432.0" w:type="dxa"/>
      <w:tblLayout w:type="fixed"/>
      <w:tblLook w:val="0000"/>
    </w:tblPr>
    <w:tblGrid>
      <w:gridCol w:w="4118"/>
      <w:gridCol w:w="5954"/>
      <w:tblGridChange w:id="0">
        <w:tblGrid>
          <w:gridCol w:w="4118"/>
          <w:gridCol w:w="5954"/>
        </w:tblGrid>
      </w:tblGridChange>
    </w:tblGrid>
    <w:tr>
      <w:trPr>
        <w:cantSplit w:val="0"/>
        <w:trHeight w:val="1013" w:hRule="atLeast"/>
        <w:tblHeader w:val="0"/>
      </w:trPr>
      <w:tc>
        <w:tcPr/>
        <w:p w:rsidR="00000000" w:rsidDel="00000000" w:rsidP="00000000" w:rsidRDefault="00000000" w:rsidRPr="00000000" w14:paraId="00000021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right="360" w:firstLine="148"/>
            <w:rPr>
              <w:rFonts w:ascii="Neo Sans Std" w:cs="Neo Sans Std" w:eastAsia="Neo Sans Std" w:hAnsi="Neo Sans Std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b="0" l="0" r="0" t="0"/>
                <wp:wrapNone/>
                <wp:docPr id="76994908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22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b w:val="1"/>
              <w:sz w:val="16"/>
              <w:szCs w:val="16"/>
            </w:rPr>
          </w:pPr>
          <w:r w:rsidDel="00000000" w:rsidR="00000000" w:rsidRPr="00000000">
            <w:rPr>
              <w:rFonts w:ascii="Neo Sans Std" w:cs="Neo Sans Std" w:eastAsia="Neo Sans Std" w:hAnsi="Neo Sans Std"/>
              <w:sz w:val="18"/>
              <w:szCs w:val="18"/>
              <w:rtl w:val="0"/>
            </w:rPr>
            <w:br w:type="textWrapping"/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Tyršova 158, Spálené Poříčí 335 61, IČ:</w:t>
          </w:r>
          <w:r w:rsidDel="00000000" w:rsidR="00000000" w:rsidRPr="00000000">
            <w:rPr>
              <w:rtl w:val="0"/>
            </w:rPr>
            <w:t xml:space="preserve"> </w:t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02757125, DIČ: CZ02757125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e-mail: </w:t>
          </w:r>
          <w:hyperlink r:id="rId2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kontakt@internethned.cz</w:t>
            </w:r>
          </w:hyperlink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br w:type="textWrapping"/>
            <w:t xml:space="preserve">web: </w:t>
          </w:r>
          <w:hyperlink r:id="rId3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www.radynet.cz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Neo Sans Std" w:cs="Neo Sans Std" w:eastAsia="Neo Sans Std" w:hAnsi="Neo Sans Std"/>
              <w:b w:val="1"/>
              <w:color w:val="38761d"/>
              <w:sz w:val="14"/>
              <w:szCs w:val="14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tel.: </w:t>
          </w:r>
          <w:r w:rsidDel="00000000" w:rsidR="00000000" w:rsidRPr="00000000">
            <w:rPr>
              <w:rFonts w:ascii="Open Sans" w:cs="Open Sans" w:eastAsia="Open Sans" w:hAnsi="Open Sans"/>
              <w:b w:val="1"/>
              <w:color w:val="92d050"/>
              <w:sz w:val="16"/>
              <w:szCs w:val="16"/>
              <w:rtl w:val="0"/>
            </w:rPr>
            <w:t xml:space="preserve">800 753 753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c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F423FA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F423FA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F423FA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F423FA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F423FA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F423FA"/>
    <w:rPr>
      <w:rFonts w:cstheme="majorBidi" w:eastAsiaTheme="majorEastAsia"/>
      <w:color w:val="0f4761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F423FA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F423FA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F423FA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F423FA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F423F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423F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F423FA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F423F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F423FA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F423FA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F423FA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F423FA"/>
    <w:rPr>
      <w:i w:val="1"/>
      <w:iCs w:val="1"/>
      <w:color w:val="0f4761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F423FA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F423FA"/>
    <w:rPr>
      <w:i w:val="1"/>
      <w:iCs w:val="1"/>
      <w:color w:val="0f4761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F423FA"/>
    <w:rPr>
      <w:b w:val="1"/>
      <w:bCs w:val="1"/>
      <w:smallCaps w:val="1"/>
      <w:color w:val="0f4761" w:themeColor="accent1" w:themeShade="0000BF"/>
      <w:spacing w:val="5"/>
    </w:rPr>
  </w:style>
  <w:style w:type="paragraph" w:styleId="Zhlav">
    <w:name w:val="header"/>
    <w:basedOn w:val="Normln"/>
    <w:link w:val="Zhlav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423FA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kontakt@internethned.cz" TargetMode="External"/><Relationship Id="rId3" Type="http://schemas.openxmlformats.org/officeDocument/2006/relationships/hyperlink" Target="http://www.internethne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Lko4p6G77vM3wzmCuEOJy4XSg==">CgMxLjAyCGguZ2pkZ3hzOAByITF2cEljRDNiT29hVllnNVJJZkRsVUl2ZEo2c1FKQkhOTg==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2024-04-11T07:57:00Z</dcterms:created>
  <dc:creator>Alena Větrovcová</dc:creator>
</cp:coreProperties>
</file>