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  <w:t xml:space="preserve">Příloha č. 1b</w:t>
        <w:br w:type="textWrapping"/>
        <w:br w:type="textWrapping"/>
        <w:t xml:space="preserve">Zpřístupnění účastnického vedení a jeho úseku,  technická specifikace a specifikace služby</w:t>
      </w:r>
    </w:p>
    <w:p w:rsidR="00000000" w:rsidDel="00000000" w:rsidP="00000000" w:rsidRDefault="00000000" w:rsidRPr="00000000" w14:paraId="00000002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Číslo Služby :        .……………...................</w:t>
        <w:br w:type="textWrapping"/>
        <w:br w:type="textWrapping"/>
        <w:t xml:space="preserve">Obec (oblast) :</w:t>
        <w:tab/>
        <w:t xml:space="preserve">  .………………………….</w:t>
        <w:br w:type="textWrapping"/>
        <w:br w:type="textWrapping"/>
        <w:t xml:space="preserve">Jméno partnera :    ..………………………….</w:t>
        <w:br w:type="textWrapping"/>
        <w:br w:type="textWrapping"/>
        <w:t xml:space="preserve">ID: Partnera : </w:t>
        <w:tab/>
        <w:t xml:space="preserve">..….……………………….</w:t>
        <w:br w:type="textWrapping"/>
        <w:br w:type="textWrapping"/>
        <w:t xml:space="preserve">Datum žádosti:   ……………………………</w:t>
        <w:br w:type="textWrapping"/>
        <w:br w:type="textWrapping"/>
        <w:t xml:space="preserve">Datum zahájení šetření:</w:t>
        <w:tab/>
        <w:t xml:space="preserve">……………………………</w:t>
        <w:br w:type="textWrapping"/>
        <w:br w:type="textWrapping"/>
        <w:t xml:space="preserve">Datum zahájení implementace služby : ……………………………</w:t>
        <w:br w:type="textWrapping"/>
        <w:br w:type="textWrapping"/>
        <w:t xml:space="preserve">Datum zprovoznění služby : ……………………………</w:t>
        <w:br w:type="textWrapping"/>
        <w:br w:type="textWrapping"/>
        <w:t xml:space="preserve">Datum zahájení testovacího provozu: ……………………………</w:t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Datum zakončení testovacího provozu: ……………………………</w:t>
        <w:br w:type="textWrapping"/>
        <w:br w:type="textWrapping"/>
        <w:t xml:space="preserve">Datum předání Služby Partnerovi: ….…………………………</w:t>
        <w:br w:type="textWrapping"/>
        <w:br w:type="textWrapping"/>
        <w:t xml:space="preserve">Datum ukončení Služby:  …………………………….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Služba zpřístupnění účastnického vedení a jeho úseku </w:t>
        <w:br w:type="textWrapping"/>
      </w:r>
    </w:p>
    <w:p w:rsidR="00000000" w:rsidDel="00000000" w:rsidP="00000000" w:rsidRDefault="00000000" w:rsidRPr="00000000" w14:paraId="00000009">
      <w:pPr>
        <w:tabs>
          <w:tab w:val="left" w:leader="none" w:pos="284"/>
        </w:tabs>
        <w:spacing w:after="0" w:line="240" w:lineRule="auto"/>
        <w:ind w:left="567" w:right="61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s.r.o. (dále RADYNET)  prohlašuje, že je vlastníkem nebo oprávněným uživatelem účastnického vedení tvořících trasy, které si pronajímá pronajmout Partner v rámci Smlouvy, a které jsou specifikovány v této Příloze. Zpřístupněním účastnického vedení se rozumí pronájem optických vláken mezi účastnickou zásuvkou koncového uživatele a soustřeďovacím bodem. RADYNET. tímto uděluje Partnerovi výlučné a za podmínek stanovených Smlouvou právo užívání k účastnického vedení specifikovaného v této příloze</w:t>
      </w:r>
    </w:p>
    <w:p w:rsidR="00000000" w:rsidDel="00000000" w:rsidP="00000000" w:rsidRDefault="00000000" w:rsidRPr="00000000" w14:paraId="0000000B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284"/>
        </w:tabs>
        <w:spacing w:after="0" w:line="240" w:lineRule="auto"/>
        <w:ind w:left="567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2" w:rightFromText="142" w:topFromText="0" w:bottomFromText="142" w:vertAnchor="text" w:horzAnchor="text" w:tblpX="0" w:tblpY="0"/>
        <w:tblW w:w="38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1"/>
        <w:tblGridChange w:id="0">
          <w:tblGrid>
            <w:gridCol w:w="381"/>
          </w:tblGrid>
        </w:tblGridChange>
      </w:tblGrid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tabs>
                <w:tab w:val="left" w:leader="none" w:pos="284"/>
              </w:tabs>
              <w:ind w:right="61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Zpřístupnění účastnického optického vedení přístupové sítě v ODF</w:t>
        <w:br w:type="textWrapping"/>
        <w:br w:type="textWrapping"/>
      </w:r>
    </w:p>
    <w:p w:rsidR="00000000" w:rsidDel="00000000" w:rsidP="00000000" w:rsidRDefault="00000000" w:rsidRPr="00000000" w14:paraId="00000010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Zpřístupnění účastnického optického vedení přístupové sítě je realizováno mezi hlavním rozvodem, umístěným v demarkačním bodě 3 (Central Office) a ukončeným v rozvaděči ODF, a koncovým bodem sítě (optická zásuvka v prostorách účastníka) tak, že vedení je překonfigurováno na vedení k zařízení Partnera. RADYNET  propojí účastnické optické vedení, které je tvořeno fyzickým optickým vláknem, do předávacího rozvodu mezi RADYNET a Partnerem. Partner odpovídá za propojení z předávacího rozvodu do svého zařízení.</w:t>
      </w:r>
    </w:p>
    <w:tbl>
      <w:tblPr>
        <w:tblStyle w:val="Table2"/>
        <w:tblpPr w:leftFromText="142" w:rightFromText="142" w:topFromText="0" w:bottomFromText="142" w:vertAnchor="text" w:horzAnchor="text" w:tblpX="0" w:tblpY="0"/>
        <w:tblW w:w="38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1"/>
        <w:tblGridChange w:id="0">
          <w:tblGrid>
            <w:gridCol w:w="381"/>
          </w:tblGrid>
        </w:tblGridChange>
      </w:tblGrid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284"/>
              </w:tabs>
              <w:ind w:right="613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Zpřístupnění úseku účastnického optického vedení přístupové sítě mezilehlý rozvaděč</w:t>
        <w:tab/>
        <w:tab/>
      </w:r>
    </w:p>
    <w:p w:rsidR="00000000" w:rsidDel="00000000" w:rsidP="00000000" w:rsidRDefault="00000000" w:rsidRPr="00000000" w14:paraId="00000013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Zpřístupnění úseku účastnického optického vedení přístupové sítě je realizováno mezi koncovým bodem sítě a mezilehlým rozvaděčem v síti tak, že úsek vedení je překonfigurován na vedení k zařízení Partnera. Mezilehlým rozvaděčem se pro účely služby zpřístupnění úseku účastnického optického rozumí místní infrastruktura zakončena v optickém konektorovém poli SDF (odpovídá soustřeďovacímu bodu). RADYNET propojí úsek účastnického optického vedení do předávacího rozvodu mezi RADYNET  a Partnerem. Partner odpovídá za propojení z předávacího rozvodu do svého zařízení. Pro využití služby zpřístupnění účastnického vedení Příjemce dotace poskytne v nezbytném rozsahu rovněž související službu kolokace.</w:t>
      </w:r>
    </w:p>
    <w:p w:rsidR="00000000" w:rsidDel="00000000" w:rsidP="00000000" w:rsidRDefault="00000000" w:rsidRPr="00000000" w14:paraId="00000015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II</w:t>
        <w:br w:type="textWrapping"/>
        <w:t xml:space="preserve">Přístup k účastnickému vedení a jeho úseku </w:t>
        <w:br w:type="textWrapping"/>
      </w:r>
    </w:p>
    <w:p w:rsidR="00000000" w:rsidDel="00000000" w:rsidP="00000000" w:rsidRDefault="00000000" w:rsidRPr="00000000" w14:paraId="00000016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Přístup je realizován v bodech k tomu určených (např.rozvaděče, kabelové komory, šachty, spojky) s ohledem na strukturu sítě tak, aby nedocházelo k jejímu znehodnocení pro budoucí využití. Seznam přístupových bodů  pro Službu uvedenou v této příloze je uvedený v Článku VIII a Příloze 10- Síťová hierarchie, Orientační schéma, seznam obcí, úseků</w:t>
        <w:br w:type="textWrapping"/>
      </w:r>
    </w:p>
    <w:p w:rsidR="00000000" w:rsidDel="00000000" w:rsidP="00000000" w:rsidRDefault="00000000" w:rsidRPr="00000000" w14:paraId="00000017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III</w:t>
      </w:r>
    </w:p>
    <w:p w:rsidR="00000000" w:rsidDel="00000000" w:rsidP="00000000" w:rsidRDefault="00000000" w:rsidRPr="00000000" w14:paraId="00000019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Převzetí účastnického vedení a jeho úseku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284"/>
        </w:tabs>
        <w:spacing w:after="0" w:line="240" w:lineRule="auto"/>
        <w:ind w:right="613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Partner se zavazuje, že ve lhůtách stanovených Smlouvou a touto přílohou  převezme účastnické vedení nebo jeho úsek a to nejpozději do 5ti pracovních dní od ukončení úspěšného testovacího provozu.. Podpisem této přílohy Partner potvrzuje RADYNETu, že převzal účastnické vedení a jeho úsek v řádném provozuschopném stavu a bez závad. </w:t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  <w:br w:type="textWrapping"/>
        <w:t xml:space="preserve">Článek IV</w:t>
        <w:br w:type="textWrapping"/>
        <w:t xml:space="preserve">Užívání účastnického vedení a jeho úseku 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Partner může  účastnického vedení nebo jeho úsek užívat pouze pro účely související s jeho obchodní činností v souladu s uzavřenou  Smlouvou.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254"/>
        </w:tabs>
        <w:spacing w:after="0" w:before="63" w:line="309" w:lineRule="auto"/>
        <w:ind w:left="135" w:right="227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</w:t>
        <w:br w:type="textWrapping"/>
        <w:t xml:space="preserve">Ostatní závazky</w:t>
        <w:br w:type="textWrapping"/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4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se zavazuje, že pokud to bude možné, poskytne Partnerovi v přiměřeném rozsahu virtuální účastnické vedení, účastnické vedení, optické vlákno/vlákna, HDPE trubičky (mikrotrubičky) a HDPE trubky na nedotované infrastruktuře, nejméně však z dotované oblasti do prvního hierarchického bodu infrastruktury (např. central office anebo PoP).V případě, že je dostupná poslední volná (HDPE) trubička, RADYNET pronajme pouze optické vlákno, pokud bude k dispozici.</w:t>
        <w:br w:type="textWrapping"/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4"/>
        </w:numPr>
        <w:spacing w:after="0" w:before="63" w:line="309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se zavazuje, v případě věží a stožárů zřízených s využitím poskytnuté dotace  umístitsvá zařízení (přijímače, vysílače , antény a další infrastrukturu)   efektivně s ohledem na potřebu poskytnutí možnosti využití další plochy k pronájmu zařízení Partnera a nebude umístění zařízení Partnerem účelově bránit.</w:t>
        <w:br w:type="textWrapping"/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4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se zavazuje umožnit Partnerovi, pro využití Služby   v nezbytném rozsahu rovněž související službu kolokace</w:t>
      </w:r>
    </w:p>
    <w:p w:rsidR="00000000" w:rsidDel="00000000" w:rsidP="00000000" w:rsidRDefault="00000000" w:rsidRPr="00000000" w14:paraId="00000021">
      <w:pPr>
        <w:tabs>
          <w:tab w:val="left" w:leader="none" w:pos="284"/>
        </w:tabs>
        <w:spacing w:after="0" w:line="240" w:lineRule="auto"/>
        <w:ind w:left="567" w:right="61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VI</w:t>
      </w:r>
    </w:p>
    <w:p w:rsidR="00000000" w:rsidDel="00000000" w:rsidP="00000000" w:rsidRDefault="00000000" w:rsidRPr="00000000" w14:paraId="00000023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Údržba účastnického vedení a jeho úseku </w:t>
        <w:br w:type="textWrapping"/>
      </w:r>
    </w:p>
    <w:p w:rsidR="00000000" w:rsidDel="00000000" w:rsidP="00000000" w:rsidRDefault="00000000" w:rsidRPr="00000000" w14:paraId="00000024">
      <w:pPr>
        <w:tabs>
          <w:tab w:val="left" w:leader="none" w:pos="284"/>
        </w:tabs>
        <w:spacing w:after="0" w:line="240" w:lineRule="auto"/>
        <w:ind w:left="567" w:right="613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3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bude od předání Užívání účastnického vedení a jeho úseku  zajišťovat na vlastní náklady údržbu tak, aby Pasivní infrastruktura po celou Dobu užívání byla plně funkční a odpovídala Specifikacím.</w:t>
      </w:r>
    </w:p>
    <w:p w:rsidR="00000000" w:rsidDel="00000000" w:rsidP="00000000" w:rsidRDefault="00000000" w:rsidRPr="00000000" w14:paraId="00000026">
      <w:pPr>
        <w:widowControl w:val="0"/>
        <w:spacing w:after="0" w:before="63" w:line="309" w:lineRule="auto"/>
        <w:ind w:left="360" w:right="227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3"/>
        </w:numPr>
        <w:spacing w:after="0" w:before="63" w:line="309" w:lineRule="auto"/>
        <w:ind w:left="360" w:right="227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 se zavazuje Pasivní infrastrukturu ve stavu umožňujícím jejich nepřetržitý provoz.Servisní zásahy se řídí Smlouvou a Přílohou č. 3 - Pravidla a postupy pro jednotlivé služby.</w:t>
      </w:r>
    </w:p>
    <w:p w:rsidR="00000000" w:rsidDel="00000000" w:rsidP="00000000" w:rsidRDefault="00000000" w:rsidRPr="00000000" w14:paraId="00000028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  <w:t xml:space="preserve">Článek VII</w:t>
      </w:r>
    </w:p>
    <w:p w:rsidR="00000000" w:rsidDel="00000000" w:rsidP="00000000" w:rsidRDefault="00000000" w:rsidRPr="00000000" w14:paraId="0000002F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Kvalita</w:t>
        <w:br w:type="textWrapping"/>
      </w:r>
    </w:p>
    <w:p w:rsidR="00000000" w:rsidDel="00000000" w:rsidP="00000000" w:rsidRDefault="00000000" w:rsidRPr="00000000" w14:paraId="00000030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Radynet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s.r.o. je povinna dodržet parametry kvality Pasivní infrastruktury tak, jak je popsáno v Příloze č. 4 – Minimální soubor SLA  Smlouvy.</w:t>
        <w:br w:type="textWrapping"/>
      </w:r>
    </w:p>
    <w:p w:rsidR="00000000" w:rsidDel="00000000" w:rsidP="00000000" w:rsidRDefault="00000000" w:rsidRPr="00000000" w14:paraId="00000031">
      <w:pPr>
        <w:tabs>
          <w:tab w:val="left" w:leader="none" w:pos="284"/>
        </w:tabs>
        <w:spacing w:after="0" w:line="240" w:lineRule="auto"/>
        <w:ind w:left="567" w:right="613" w:firstLine="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Článek VIII</w:t>
      </w:r>
    </w:p>
    <w:p w:rsidR="00000000" w:rsidDel="00000000" w:rsidP="00000000" w:rsidRDefault="00000000" w:rsidRPr="00000000" w14:paraId="00000032">
      <w:pPr>
        <w:spacing w:after="0" w:line="240" w:lineRule="auto"/>
        <w:ind w:left="36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left="36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line="240" w:lineRule="auto"/>
        <w:ind w:left="360"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Přesné umístění přístupových bodů </w:t>
        <w:br w:type="textWrapping"/>
        <w:br w:type="textWrapping"/>
        <w:t xml:space="preserve">GPS :      ……………………………………..................................</w:t>
      </w:r>
    </w:p>
    <w:p w:rsidR="00000000" w:rsidDel="00000000" w:rsidP="00000000" w:rsidRDefault="00000000" w:rsidRPr="00000000" w14:paraId="00000035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Adresa :  ……………………………………………………………..</w:t>
        <w:br w:type="textWrapping"/>
        <w:br w:type="textWrapping"/>
        <w:t xml:space="preserve">                    ……………………………………………………………..</w:t>
        <w:br w:type="textWrapping"/>
        <w:br w:type="textWrapping"/>
        <w:t xml:space="preserve">                    …………………………………………............................</w:t>
        <w:br w:type="textWrapping"/>
        <w:t xml:space="preserve">      </w:t>
        <w:br w:type="textWrapping"/>
        <w:t xml:space="preserve">               </w:t>
        <w:br w:type="textWrapping"/>
        <w:br w:type="textWrapping"/>
        <w:br w:type="textWrapping"/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tabs>
          <w:tab w:val="left" w:leader="none" w:pos="284"/>
        </w:tabs>
        <w:spacing w:after="0" w:line="240" w:lineRule="auto"/>
        <w:ind w:left="644" w:right="61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Technické podmínky přístupu, specifikace zařízení a rozhraní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tabs>
          <w:tab w:val="left" w:leader="none" w:pos="284"/>
        </w:tabs>
        <w:spacing w:after="0" w:line="240" w:lineRule="auto"/>
        <w:ind w:left="644" w:right="61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Síťová hierarchie přístupu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tabs>
          <w:tab w:val="left" w:leader="none" w:pos="284"/>
        </w:tabs>
        <w:spacing w:after="0" w:line="240" w:lineRule="auto"/>
        <w:ind w:left="644" w:right="61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Podmínky  společného umisťování (kolokace)</w:t>
        <w:br w:type="textWrapping"/>
        <w:br w:type="textWrapping"/>
      </w:r>
    </w:p>
    <w:p w:rsidR="00000000" w:rsidDel="00000000" w:rsidP="00000000" w:rsidRDefault="00000000" w:rsidRPr="00000000" w14:paraId="0000003A">
      <w:pPr>
        <w:tabs>
          <w:tab w:val="left" w:leader="none" w:pos="284"/>
        </w:tabs>
        <w:spacing w:after="0" w:line="240" w:lineRule="auto"/>
        <w:ind w:left="0" w:right="613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tabs>
          <w:tab w:val="left" w:leader="none" w:pos="284"/>
        </w:tabs>
        <w:spacing w:after="0" w:line="240" w:lineRule="auto"/>
        <w:ind w:left="644" w:right="61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Zakreslená datová trasa :</w:t>
        <w:br w:type="textWrapping"/>
      </w:r>
    </w:p>
    <w:p w:rsidR="00000000" w:rsidDel="00000000" w:rsidP="00000000" w:rsidRDefault="00000000" w:rsidRPr="00000000" w14:paraId="0000003C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tabs>
          <w:tab w:val="left" w:leader="none" w:pos="284"/>
        </w:tabs>
        <w:spacing w:after="0" w:line="240" w:lineRule="auto"/>
        <w:ind w:left="644" w:right="613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Délka trasy v m :</w:t>
        <w:br w:type="textWrapping"/>
        <w:br w:type="textWrapping"/>
      </w:r>
    </w:p>
    <w:p w:rsidR="00000000" w:rsidDel="00000000" w:rsidP="00000000" w:rsidRDefault="00000000" w:rsidRPr="00000000" w14:paraId="00000040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t xml:space="preserve">za Radynet, s.r.o.:</w:t>
        <w:tab/>
        <w:tab/>
        <w:tab/>
        <w:tab/>
        <w:tab/>
        <w:tab/>
        <w:t xml:space="preserve">za Partnera :</w:t>
        <w:br w:type="textWrapping"/>
      </w:r>
    </w:p>
    <w:p w:rsidR="00000000" w:rsidDel="00000000" w:rsidP="00000000" w:rsidRDefault="00000000" w:rsidRPr="00000000" w14:paraId="00000042">
      <w:pPr>
        <w:tabs>
          <w:tab w:val="left" w:leader="none" w:pos="284"/>
        </w:tabs>
        <w:spacing w:after="0" w:line="240" w:lineRule="auto"/>
        <w:ind w:right="613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eo Sans Std"/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3"/>
      <w:tblW w:w="10072.0" w:type="dxa"/>
      <w:jc w:val="left"/>
      <w:tblInd w:w="-432.0" w:type="dxa"/>
      <w:tblLayout w:type="fixed"/>
      <w:tblLook w:val="0000"/>
    </w:tblPr>
    <w:tblGrid>
      <w:gridCol w:w="4118"/>
      <w:gridCol w:w="5954"/>
      <w:tblGridChange w:id="0">
        <w:tblGrid>
          <w:gridCol w:w="4118"/>
          <w:gridCol w:w="5954"/>
        </w:tblGrid>
      </w:tblGridChange>
    </w:tblGrid>
    <w:tr>
      <w:trPr>
        <w:cantSplit w:val="0"/>
        <w:trHeight w:val="1013" w:hRule="atLeast"/>
        <w:tblHeader w:val="0"/>
      </w:trPr>
      <w:tc>
        <w:tcPr/>
        <w:p w:rsidR="00000000" w:rsidDel="00000000" w:rsidP="00000000" w:rsidRDefault="00000000" w:rsidRPr="00000000" w14:paraId="00000045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right="360" w:firstLine="148"/>
            <w:rPr>
              <w:rFonts w:ascii="Neo Sans Std" w:cs="Neo Sans Std" w:eastAsia="Neo Sans Std" w:hAnsi="Neo Sans Std"/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b="0" l="0" r="0" t="0"/>
                <wp:wrapNone/>
                <wp:docPr id="76994908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/>
        <w:p w:rsidR="00000000" w:rsidDel="00000000" w:rsidP="00000000" w:rsidRDefault="00000000" w:rsidRPr="00000000" w14:paraId="00000046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b w:val="1"/>
              <w:sz w:val="16"/>
              <w:szCs w:val="16"/>
            </w:rPr>
          </w:pPr>
          <w:r w:rsidDel="00000000" w:rsidR="00000000" w:rsidRPr="00000000">
            <w:rPr>
              <w:rFonts w:ascii="Neo Sans Std" w:cs="Neo Sans Std" w:eastAsia="Neo Sans Std" w:hAnsi="Neo Sans Std"/>
              <w:sz w:val="18"/>
              <w:szCs w:val="18"/>
              <w:rtl w:val="0"/>
            </w:rPr>
            <w:br w:type="textWrapping"/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Tyršova 158, Spálené Poříčí 335 61, IČ:</w:t>
          </w:r>
          <w:r w:rsidDel="00000000" w:rsidR="00000000" w:rsidRPr="00000000">
            <w:rPr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02757125, DIČ: CZ02757125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Open Sans" w:cs="Open Sans" w:eastAsia="Open Sans" w:hAnsi="Open Sans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e-mail: </w:t>
          </w:r>
          <w:hyperlink r:id="rId2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kontakt@internethned.cz</w:t>
            </w:r>
          </w:hyperlink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br w:type="textWrapping"/>
            <w:t xml:space="preserve">web: </w:t>
          </w:r>
          <w:hyperlink r:id="rId3">
            <w:r w:rsidDel="00000000" w:rsidR="00000000" w:rsidRPr="00000000">
              <w:rPr>
                <w:rFonts w:ascii="Open Sans" w:cs="Open Sans" w:eastAsia="Open Sans" w:hAnsi="Open Sans"/>
                <w:color w:val="00b0f0"/>
                <w:sz w:val="16"/>
                <w:szCs w:val="16"/>
                <w:u w:val="single"/>
                <w:rtl w:val="0"/>
              </w:rPr>
              <w:t xml:space="preserve">www.radynet.cz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tabs>
              <w:tab w:val="center" w:leader="none" w:pos="4536"/>
              <w:tab w:val="right" w:leader="none" w:pos="9072"/>
            </w:tabs>
            <w:spacing w:after="0" w:line="240" w:lineRule="auto"/>
            <w:ind w:left="-954" w:right="72" w:firstLine="0"/>
            <w:jc w:val="right"/>
            <w:rPr>
              <w:rFonts w:ascii="Neo Sans Std" w:cs="Neo Sans Std" w:eastAsia="Neo Sans Std" w:hAnsi="Neo Sans Std"/>
              <w:b w:val="1"/>
              <w:color w:val="38761d"/>
              <w:sz w:val="14"/>
              <w:szCs w:val="14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tel.: </w:t>
          </w:r>
          <w:r w:rsidDel="00000000" w:rsidR="00000000" w:rsidRPr="00000000">
            <w:rPr>
              <w:rFonts w:ascii="Open Sans" w:cs="Open Sans" w:eastAsia="Open Sans" w:hAnsi="Open Sans"/>
              <w:b w:val="1"/>
              <w:color w:val="92d050"/>
              <w:sz w:val="16"/>
              <w:szCs w:val="16"/>
              <w:rtl w:val="0"/>
            </w:rPr>
            <w:t xml:space="preserve">800 753 753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644" w:hanging="359.99999999999994"/>
      </w:pPr>
      <w:rPr>
        <w:u w:val="none"/>
      </w:rPr>
    </w:lvl>
    <w:lvl w:ilvl="1">
      <w:start w:val="1"/>
      <w:numFmt w:val="decimal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04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c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F423FA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F423FA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F423FA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F423FA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F423FA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F423FA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F423FA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F423FA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F423FA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F423FA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F423FA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F423FA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F423FA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F423FA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F423FA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423FA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F423FA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F423FA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F423FA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F423FA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F423FA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F423FA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F423FA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F423FA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F423FA"/>
    <w:rPr>
      <w:b w:val="1"/>
      <w:bCs w:val="1"/>
      <w:smallCaps w:val="1"/>
      <w:color w:val="0f4761" w:themeColor="accent1" w:themeShade="0000BF"/>
      <w:spacing w:val="5"/>
    </w:rPr>
  </w:style>
  <w:style w:type="paragraph" w:styleId="Zhlav">
    <w:name w:val="header"/>
    <w:basedOn w:val="Normln"/>
    <w:link w:val="Zhlav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 w:val="1"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F423FA"/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kontakt@internethned.cz" TargetMode="External"/><Relationship Id="rId3" Type="http://schemas.openxmlformats.org/officeDocument/2006/relationships/hyperlink" Target="http://www.internethned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izmP86Y1vv99gQ2GN2+tZFOReA==">CgMxLjA4AHIhMXpmLVJRVVFqUVY5R2ROdEFpZ0JKaHY2THFtN0dXUVRK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2024-04-11T07:57:00Z</dcterms:created>
  <dc:creator>Alena Větrovcová</dc:creator>
</cp:coreProperties>
</file>