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widowControl w:val="0"/>
        <w:spacing w:after="0" w:before="6"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Příloha č. 8</w:t>
        <w:br w:type="textWrapping"/>
        <w:t xml:space="preserve">Platební podmínky</w:t>
        <w:br w:type="textWrapping"/>
        <w:br w:type="textWrapping"/>
        <w:br w:type="textWrapping"/>
      </w:r>
      <w:r w:rsidDel="00000000" w:rsidR="00000000" w:rsidRPr="00000000">
        <w:rPr>
          <w:rtl w:val="0"/>
        </w:rPr>
      </w:r>
    </w:p>
    <w:p w:rsidR="00000000" w:rsidDel="00000000" w:rsidP="00000000" w:rsidRDefault="00000000" w:rsidRPr="00000000" w14:paraId="00000003">
      <w:pPr>
        <w:spacing w:after="0" w:line="240" w:lineRule="auto"/>
        <w:ind w:left="4248"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Článek I</w:t>
      </w:r>
    </w:p>
    <w:p w:rsidR="00000000" w:rsidDel="00000000" w:rsidP="00000000" w:rsidRDefault="00000000" w:rsidRPr="00000000" w14:paraId="00000004">
      <w:pPr>
        <w:pStyle w:val="Heading3"/>
        <w:spacing w:after="120" w:before="0" w:line="276" w:lineRule="auto"/>
        <w:jc w:val="center"/>
        <w:rPr>
          <w:rFonts w:ascii="Times New Roman" w:cs="Times New Roman" w:eastAsia="Times New Roman" w:hAnsi="Times New Roman"/>
          <w:b w:val="1"/>
          <w:color w:val="000000"/>
          <w:sz w:val="22"/>
          <w:szCs w:val="22"/>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2"/>
          <w:szCs w:val="22"/>
          <w:rtl w:val="0"/>
        </w:rPr>
        <w:t xml:space="preserve">Proces shromažďování účtovacích údajů a výpočtu cen</w:t>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numPr>
          <w:ilvl w:val="0"/>
          <w:numId w:val="3"/>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Proces shromažďování údajů (měření, záznam, ověřování) a výpočet cen za služby dle Smlouvy realizuje účtující Strana na své náklady. Jednotky měření musí být v souladu s jednotkami specifikovanými v relevantní Příloze 1.x. Primárním zdrojem pro účtování služeb jsou data uvedená v objednávkových systémech Strany, které poskytla předmětnou službu.</w:t>
      </w:r>
    </w:p>
    <w:p w:rsidR="00000000" w:rsidDel="00000000" w:rsidP="00000000" w:rsidRDefault="00000000" w:rsidRPr="00000000" w14:paraId="00000007">
      <w:pPr>
        <w:numPr>
          <w:ilvl w:val="0"/>
          <w:numId w:val="3"/>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Účtující Strana je odpovědná za včasné shromáždění účtovacích údajů a za sestavení daňových dokladů dle platné legislativy</w:t>
      </w:r>
    </w:p>
    <w:p w:rsidR="00000000" w:rsidDel="00000000" w:rsidP="00000000" w:rsidRDefault="00000000" w:rsidRPr="00000000" w14:paraId="00000008">
      <w:pPr>
        <w:spacing w:after="120" w:line="276"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pStyle w:val="Heading3"/>
        <w:spacing w:after="120" w:before="0" w:line="276" w:lineRule="auto"/>
        <w:ind w:left="567" w:firstLine="0"/>
        <w:jc w:val="center"/>
        <w:rPr>
          <w:rFonts w:ascii="Times New Roman" w:cs="Times New Roman" w:eastAsia="Times New Roman" w:hAnsi="Times New Roman"/>
          <w:b w:val="1"/>
          <w:color w:val="000000"/>
          <w:sz w:val="22"/>
          <w:szCs w:val="22"/>
        </w:rPr>
      </w:pPr>
      <w:bookmarkStart w:colFirst="0" w:colLast="0" w:name="_heading=h.30j0zll" w:id="1"/>
      <w:bookmarkEnd w:id="1"/>
      <w:r w:rsidDel="00000000" w:rsidR="00000000" w:rsidRPr="00000000">
        <w:rPr>
          <w:rFonts w:ascii="Times New Roman" w:cs="Times New Roman" w:eastAsia="Times New Roman" w:hAnsi="Times New Roman"/>
          <w:b w:val="1"/>
          <w:color w:val="000000"/>
          <w:sz w:val="22"/>
          <w:szCs w:val="22"/>
          <w:rtl w:val="0"/>
        </w:rPr>
        <w:t xml:space="preserve">Článek II</w:t>
        <w:br w:type="textWrapping"/>
        <w:t xml:space="preserve">Postup vyúčtování</w:t>
      </w:r>
    </w:p>
    <w:p w:rsidR="00000000" w:rsidDel="00000000" w:rsidP="00000000" w:rsidRDefault="00000000" w:rsidRPr="00000000" w14:paraId="0000000A">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Účtovacím obdobím pro služby elektronických komunikací a výkony, které budou vzájemně poskytovány a účtovány, je kalendářní měsíc. V rámci kalendářního měsíce budou shromažďována data a účtovány ceny za vzájemně poskytované služby a výkony počínaje prvním dnem příslušného kalendářního měsíce od 0:00:00 hodin do posledního dne příslušného měsíce do 23:59:59 hodin. Ostatní služby a výkony budou účtovány za období, ve kterém byly skutečně poskytnuty.</w:t>
      </w:r>
    </w:p>
    <w:p w:rsidR="00000000" w:rsidDel="00000000" w:rsidP="00000000" w:rsidRDefault="00000000" w:rsidRPr="00000000" w14:paraId="0000000B">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Byla-li služba specifikovaná v Příloze 1.x zřízena nebo zrušena v průběhu kalendářního měsíce a je-li cena stanovena měsíční paušální částkou, pak se účtuje příslušná poměrná část ceny za měsíc, není-li u konkrétní služby uvedeno jinak. Nezapočítá se den, kdy byla služba zřízena. Den, kdy byla služba zrušena, se započítá. Je-li podkladem pro měření dohodnutá jednotka, pak se cena účtuje pouze za uskutečněné jednotky.</w:t>
      </w:r>
    </w:p>
    <w:p w:rsidR="00000000" w:rsidDel="00000000" w:rsidP="00000000" w:rsidRDefault="00000000" w:rsidRPr="00000000" w14:paraId="0000000C">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Účtující Strana vystaví straně účtované daňový doklad vždy do 15. (patnáctého) kalendářního dne od data uskutečnění zdanitelného plnění a připojí rozpisy položek daňového / účetního dokladu za služby účtované v daném období. Faktura za smluvní pokutu vyšší než 100.- Kč bez DPH bude vystavena po prvém dni následujícího měsíce, kdy nárok na smluvní pokutu vznikl. </w:t>
      </w:r>
    </w:p>
    <w:p w:rsidR="00000000" w:rsidDel="00000000" w:rsidP="00000000" w:rsidRDefault="00000000" w:rsidRPr="00000000" w14:paraId="0000000D">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Dojde-li po vystavení daňového dokladu ke zjištění, že u některé služby nebo výkonu byla účtovaná nižší nebo vyšší částka, než odpovídá skutečně poskytnutému objemu služby nebo výkonu, účtující Strana oznámí písemně tuto skutečnost Straně účtované a po vzájemném odsouhlasení bude provedeno řádné doúčtování formou vystavení opravného daňového dokladu.</w:t>
      </w:r>
    </w:p>
    <w:p w:rsidR="00000000" w:rsidDel="00000000" w:rsidP="00000000" w:rsidRDefault="00000000" w:rsidRPr="00000000" w14:paraId="0000000E">
      <w:pPr>
        <w:numPr>
          <w:ilvl w:val="0"/>
          <w:numId w:val="2"/>
        </w:numPr>
        <w:spacing w:after="120" w:line="276" w:lineRule="auto"/>
        <w:ind w:left="567"/>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Kontaktní adresy účetních míst a platební účet společnosti RADYNET </w:t>
      </w:r>
      <w:r w:rsidDel="00000000" w:rsidR="00000000" w:rsidRPr="00000000">
        <w:rPr>
          <w:rFonts w:ascii="Times New Roman" w:cs="Times New Roman" w:eastAsia="Times New Roman" w:hAnsi="Times New Roman"/>
          <w:rtl w:val="0"/>
        </w:rPr>
        <w:t xml:space="preserve">a Partnera jsou uvedeny v Příloze 6.</w:t>
      </w:r>
      <w:r w:rsidDel="00000000" w:rsidR="00000000" w:rsidRPr="00000000">
        <w:rPr>
          <w:rtl w:val="0"/>
        </w:rPr>
      </w:r>
    </w:p>
    <w:p w:rsidR="00000000" w:rsidDel="00000000" w:rsidP="00000000" w:rsidRDefault="00000000" w:rsidRPr="00000000" w14:paraId="0000000F">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Při změně kontaktní adresy účetního místa a jiných údajů nezbytných pro vystavení daňového dokladu je každá Strana povinna oznámit tuto skutečnost druhé Straně bez zbytečného odkladu.</w:t>
      </w:r>
    </w:p>
    <w:p w:rsidR="00000000" w:rsidDel="00000000" w:rsidP="00000000" w:rsidRDefault="00000000" w:rsidRPr="00000000" w14:paraId="00000010">
      <w:pPr>
        <w:numPr>
          <w:ilvl w:val="0"/>
          <w:numId w:val="2"/>
        </w:numPr>
        <w:spacing w:after="120" w:line="276" w:lineRule="auto"/>
        <w:ind w:left="56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Daňový doklad, vystavený účtující Stranou, bude obsahovat číslo objednávky, které účtovaná Strana předá písemně účtující Straně neprodleně po uzavření Smlouvy.</w:t>
        <w:br w:type="textWrapping"/>
      </w:r>
    </w:p>
    <w:p w:rsidR="00000000" w:rsidDel="00000000" w:rsidP="00000000" w:rsidRDefault="00000000" w:rsidRPr="00000000" w14:paraId="00000011">
      <w:pPr>
        <w:numPr>
          <w:ilvl w:val="0"/>
          <w:numId w:val="2"/>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Vyúčtování musí mít náležitosti daňového dokladu dle platných právních předpisů, zejména:</w:t>
      </w:r>
    </w:p>
    <w:p w:rsidR="00000000" w:rsidDel="00000000" w:rsidP="00000000" w:rsidRDefault="00000000" w:rsidRPr="00000000" w14:paraId="00000012">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sídlo Partnera, obchodní firmu a DIČ a IČO;</w:t>
      </w:r>
    </w:p>
    <w:p w:rsidR="00000000" w:rsidDel="00000000" w:rsidP="00000000" w:rsidRDefault="00000000" w:rsidRPr="00000000" w14:paraId="00000013">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sídlo společnosti RADYNET, obchodní firmu, DIČ a IČO;</w:t>
      </w:r>
    </w:p>
    <w:p w:rsidR="00000000" w:rsidDel="00000000" w:rsidP="00000000" w:rsidRDefault="00000000" w:rsidRPr="00000000" w14:paraId="00000014">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číslo faktury, datum vystavení a datum uskutečnění zdanitelného plnění;</w:t>
      </w:r>
    </w:p>
    <w:p w:rsidR="00000000" w:rsidDel="00000000" w:rsidP="00000000" w:rsidRDefault="00000000" w:rsidRPr="00000000" w14:paraId="00000015">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oznámený účet, jak dále definován v Příloze 6 – kontaktní adresy</w:t>
      </w:r>
    </w:p>
    <w:p w:rsidR="00000000" w:rsidDel="00000000" w:rsidP="00000000" w:rsidRDefault="00000000" w:rsidRPr="00000000" w14:paraId="00000016">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číslo Služby, rozsah a předmět plnění</w:t>
      </w:r>
    </w:p>
    <w:p w:rsidR="00000000" w:rsidDel="00000000" w:rsidP="00000000" w:rsidRDefault="00000000" w:rsidRPr="00000000" w14:paraId="00000017">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jednotkovou a celkovou cenu</w:t>
      </w:r>
    </w:p>
    <w:p w:rsidR="00000000" w:rsidDel="00000000" w:rsidP="00000000" w:rsidRDefault="00000000" w:rsidRPr="00000000" w14:paraId="00000018">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základ daně, sazbu daně, výši daně</w:t>
      </w:r>
    </w:p>
    <w:p w:rsidR="00000000" w:rsidDel="00000000" w:rsidP="00000000" w:rsidRDefault="00000000" w:rsidRPr="00000000" w14:paraId="00000019">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platební podmínky v souladu se Smlouvou</w:t>
      </w:r>
    </w:p>
    <w:p w:rsidR="00000000" w:rsidDel="00000000" w:rsidP="00000000" w:rsidRDefault="00000000" w:rsidRPr="00000000" w14:paraId="0000001A">
      <w:pPr>
        <w:numPr>
          <w:ilvl w:val="1"/>
          <w:numId w:val="2"/>
        </w:numPr>
        <w:spacing w:after="120" w:line="276" w:lineRule="auto"/>
        <w:ind w:left="567"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číslo Smlouvy a fakturační období</w:t>
      </w:r>
    </w:p>
    <w:p w:rsidR="00000000" w:rsidDel="00000000" w:rsidP="00000000" w:rsidRDefault="00000000" w:rsidRPr="00000000" w14:paraId="0000001B">
      <w:pPr>
        <w:pStyle w:val="Heading3"/>
        <w:spacing w:after="120" w:before="0" w:line="276" w:lineRule="auto"/>
        <w:ind w:left="567" w:firstLine="0"/>
        <w:jc w:val="center"/>
        <w:rPr>
          <w:rFonts w:ascii="Times New Roman" w:cs="Times New Roman" w:eastAsia="Times New Roman" w:hAnsi="Times New Roman"/>
          <w:b w:val="1"/>
          <w:color w:val="000000"/>
          <w:sz w:val="22"/>
          <w:szCs w:val="22"/>
        </w:rPr>
      </w:pPr>
      <w:bookmarkStart w:colFirst="0" w:colLast="0" w:name="_heading=h.1fob9te" w:id="2"/>
      <w:bookmarkEnd w:id="2"/>
      <w:r w:rsidDel="00000000" w:rsidR="00000000" w:rsidRPr="00000000">
        <w:rPr>
          <w:rFonts w:ascii="Times New Roman" w:cs="Times New Roman" w:eastAsia="Times New Roman" w:hAnsi="Times New Roman"/>
          <w:color w:val="1e4d78"/>
          <w:sz w:val="22"/>
          <w:szCs w:val="22"/>
          <w:rtl w:val="0"/>
        </w:rPr>
        <w:br w:type="textWrapping"/>
      </w:r>
      <w:r w:rsidDel="00000000" w:rsidR="00000000" w:rsidRPr="00000000">
        <w:rPr>
          <w:rFonts w:ascii="Times New Roman" w:cs="Times New Roman" w:eastAsia="Times New Roman" w:hAnsi="Times New Roman"/>
          <w:b w:val="1"/>
          <w:color w:val="000000"/>
          <w:sz w:val="22"/>
          <w:szCs w:val="22"/>
          <w:rtl w:val="0"/>
        </w:rPr>
        <w:br w:type="textWrapping"/>
        <w:t xml:space="preserve">Článek III</w:t>
        <w:br w:type="textWrapping"/>
        <w:t xml:space="preserve">Reklamace</w:t>
      </w:r>
    </w:p>
    <w:p w:rsidR="00000000" w:rsidDel="00000000" w:rsidP="00000000" w:rsidRDefault="00000000" w:rsidRPr="00000000" w14:paraId="0000001C">
      <w:pPr>
        <w:numPr>
          <w:ilvl w:val="0"/>
          <w:numId w:val="4"/>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je oprávněn uplatnit důvodnou a odůvodněnou reklamaci na vyúčtování ceny, resp. vyúčtovanou částku, a to bez zbytečného odkladu, nejpozději však do 60 (šedesáti) kalendářních dnů ode dne doručení příslušného daňového dokladu Partnerovi, jinak právo uplatnit reklamaci zaniká uplynutím 60. (šedesátého) kalendářního dne ode dne doručení příslušného daňového dokladu Partnerovi. Podání reklamace nemá odkladný účinek vůči splnění povinnosti uhradit vyúčtovanou cenu, resp. vyúčtovanou částku. V případě, že uplatnění reklamace není odůvodněné, RADYNET reklamaci zamítne; lhůta uvedená výše tím není dotčena.</w:t>
      </w:r>
    </w:p>
    <w:p w:rsidR="00000000" w:rsidDel="00000000" w:rsidP="00000000" w:rsidRDefault="00000000" w:rsidRPr="00000000" w14:paraId="0000001D">
      <w:pPr>
        <w:numPr>
          <w:ilvl w:val="0"/>
          <w:numId w:val="4"/>
        </w:numPr>
        <w:spacing w:after="120" w:line="276" w:lineRule="auto"/>
        <w:ind w:left="567"/>
        <w:jc w:val="both"/>
        <w:rPr>
          <w:rFonts w:ascii="Times New Roman" w:cs="Times New Roman" w:eastAsia="Times New Roman" w:hAnsi="Times New Roman"/>
        </w:rPr>
      </w:pPr>
      <w:bookmarkStart w:colFirst="0" w:colLast="0" w:name="_heading=h.3znysh7" w:id="3"/>
      <w:bookmarkEnd w:id="3"/>
      <w:r w:rsidDel="00000000" w:rsidR="00000000" w:rsidRPr="00000000">
        <w:rPr>
          <w:rFonts w:ascii="Times New Roman" w:cs="Times New Roman" w:eastAsia="Times New Roman" w:hAnsi="Times New Roman"/>
          <w:rtl w:val="0"/>
        </w:rPr>
        <w:t xml:space="preserve">RADYNET je povinen vyřídit reklamaci dle odst. 9 této přílohy bez zbytečného odkladu, nejpozději však do 3 (tří) kalendářních měsíců ode dne doručení odůvodněné reklamace RADYNET. Vyžaduje-li vyřízení reklamace lhůtu delší než uvedenou v předchozí větě, je RADYNET bez zbytečného odkladu povinen o uvedené skutečnosti informovat Partnera společně s uvedením důvodů pro takové prodloužení. Prodloužení lhůty podle předchozí věty je možné nejvýše o 3 (tři) kalendářní měsíce. RADYNET vyřídí reklamaci tak, že jí buď vyhoví, nebo reklamaci jako neopodstatněnou odmítne s uvedením důvodů takového odmítnutí. O vyřízení reklamace je RADYNET povinen informovat Partnera ve lhůtách uvedených výše..</w:t>
      </w:r>
    </w:p>
    <w:p w:rsidR="00000000" w:rsidDel="00000000" w:rsidP="00000000" w:rsidRDefault="00000000" w:rsidRPr="00000000" w14:paraId="0000001E">
      <w:pPr>
        <w:numPr>
          <w:ilvl w:val="0"/>
          <w:numId w:val="4"/>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RADYNET reklamaci nevyřídí ve lhůtě uvedené v Článku III odst.2 této přílohy, je Partner oprávněn obrátit se na členy statutárního orgánu RADYNET s požadavkem na zjednání nápravy.</w:t>
      </w:r>
    </w:p>
    <w:p w:rsidR="00000000" w:rsidDel="00000000" w:rsidP="00000000" w:rsidRDefault="00000000" w:rsidRPr="00000000" w14:paraId="0000001F">
      <w:pPr>
        <w:numPr>
          <w:ilvl w:val="0"/>
          <w:numId w:val="4"/>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se Strany nedohodnou jinak, je RADYNET povinen v případě, že reklamaci vyhoví, tzn. že nesprávně došlo k vyúčtování ceny, resp. účtované částky, v neprospěch Partnera, vrátit Partnerovi rozdíl ceny, resp. účtované částky, nejpozději 2 (dvou) kalendářních měsíců ode dne vyřízení reklamace.</w:t>
      </w:r>
    </w:p>
    <w:p w:rsidR="00000000" w:rsidDel="00000000" w:rsidP="00000000" w:rsidRDefault="00000000" w:rsidRPr="00000000" w14:paraId="00000020">
      <w:pPr>
        <w:numPr>
          <w:ilvl w:val="0"/>
          <w:numId w:val="4"/>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Partner se způsobem vyřízení reklamace nesouhlasí, je povinen o této skutečnosti bez zbytečného odkladu, nejpozději však do 30 (třiceti) kalendářních dnů ode dne doručení vyřízení reklamace Partnerovi o této skutečnosti RADYNET informovat a postup uvedený v Článku III a násl. této přílohy se opakuje.</w:t>
      </w:r>
    </w:p>
    <w:p w:rsidR="00000000" w:rsidDel="00000000" w:rsidP="00000000" w:rsidRDefault="00000000" w:rsidRPr="00000000" w14:paraId="00000021">
      <w:pPr>
        <w:spacing w:after="120" w:line="276" w:lineRule="auto"/>
        <w:ind w:left="567"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pStyle w:val="Heading3"/>
        <w:spacing w:after="120" w:before="0" w:line="276" w:lineRule="auto"/>
        <w:ind w:left="567" w:firstLine="0"/>
        <w:jc w:val="center"/>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Článek III</w:t>
        <w:br w:type="textWrapping"/>
        <w:t xml:space="preserve">Platba</w:t>
      </w:r>
    </w:p>
    <w:p w:rsidR="00000000" w:rsidDel="00000000" w:rsidP="00000000" w:rsidRDefault="00000000" w:rsidRPr="00000000" w14:paraId="00000023">
      <w:pPr>
        <w:pStyle w:val="Heading3"/>
        <w:spacing w:after="120" w:before="0" w:line="276" w:lineRule="auto"/>
        <w:ind w:left="567" w:firstLine="0"/>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24">
      <w:pPr>
        <w:numPr>
          <w:ilvl w:val="0"/>
          <w:numId w:val="1"/>
        </w:numPr>
        <w:spacing w:after="120" w:line="276" w:lineRule="auto"/>
        <w:ind w:left="567"/>
        <w:jc w:val="both"/>
        <w:rPr>
          <w:rFonts w:ascii="Times New Roman" w:cs="Times New Roman" w:eastAsia="Times New Roman" w:hAnsi="Times New Roman"/>
        </w:rPr>
      </w:pPr>
      <w:bookmarkStart w:colFirst="0" w:colLast="0" w:name="_heading=h.2et92p0" w:id="4"/>
      <w:bookmarkEnd w:id="4"/>
      <w:r w:rsidDel="00000000" w:rsidR="00000000" w:rsidRPr="00000000">
        <w:rPr>
          <w:rFonts w:ascii="Times New Roman" w:cs="Times New Roman" w:eastAsia="Times New Roman" w:hAnsi="Times New Roman"/>
          <w:rtl w:val="0"/>
        </w:rPr>
        <w:t xml:space="preserve">Daňové doklady budou vyrovnávány zaplacením jejich salda ve lhůtě splatnosti, která je pro účely Smlouvy stanovena na čtrnáct (14) kalendářních dnů od doručení daňového dokladu druhé Straně. Uplatněná částka smluvní pokuty přesahující částku 100.- Kč bez DPH je splatná do čtrnácti (14) kalendářních dnů od doručení jejího vyúčtování druhé Straně.</w:t>
      </w:r>
    </w:p>
    <w:p w:rsidR="00000000" w:rsidDel="00000000" w:rsidP="00000000" w:rsidRDefault="00000000" w:rsidRPr="00000000" w14:paraId="00000025">
      <w:pPr>
        <w:numPr>
          <w:ilvl w:val="0"/>
          <w:numId w:val="1"/>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Placení daňového dokladu se realizuje formou bezhotovostního platebního styku. Údaje o bankovním spojení Stran budou uvedeny na každém daňovém dokladu. Peněžitý závazek je splněn připsáním placené částky na účet u banky věřitele.  </w:t>
      </w:r>
    </w:p>
    <w:p w:rsidR="00000000" w:rsidDel="00000000" w:rsidP="00000000" w:rsidRDefault="00000000" w:rsidRPr="00000000" w14:paraId="00000026">
      <w:pPr>
        <w:numPr>
          <w:ilvl w:val="0"/>
          <w:numId w:val="1"/>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účtovaná Strana neprovede zaplacení vyúčtované finanční částky nejpozději v den splatnosti, je účtující Strana oprávněna vyúčtovat a vymáhat úrok z prodlení ve výši 0,05 % z dlužné částky za každý i započatý den prodlení a účtovaná Strana je povinna vyúčtovaný úrok z prodlení zaplatit.</w:t>
      </w:r>
    </w:p>
    <w:p w:rsidR="00000000" w:rsidDel="00000000" w:rsidP="00000000" w:rsidRDefault="00000000" w:rsidRPr="00000000" w14:paraId="00000027">
      <w:pPr>
        <w:numPr>
          <w:ilvl w:val="0"/>
          <w:numId w:val="1"/>
        </w:numPr>
        <w:spacing w:after="120" w:line="276" w:lineRule="auto"/>
        <w:ind w:left="56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Úrok z prodlení bude účtován od a včetně prvního dne následujícího po datu splatnosti dlužné částky, která měla být uhrazena, až do jejího úplného uhrazení.</w:t>
      </w:r>
    </w:p>
    <w:p w:rsidR="00000000" w:rsidDel="00000000" w:rsidP="00000000" w:rsidRDefault="00000000" w:rsidRPr="00000000" w14:paraId="00000028">
      <w:pPr>
        <w:spacing w:after="120" w:line="276" w:lineRule="auto"/>
        <w:ind w:left="567" w:firstLine="0"/>
        <w:jc w:val="both"/>
        <w:rPr>
          <w:rFonts w:ascii="Times New Roman" w:cs="Times New Roman" w:eastAsia="Times New Roman" w:hAnsi="Times New Roman"/>
        </w:rPr>
      </w:pPr>
      <w:r w:rsidDel="00000000" w:rsidR="00000000" w:rsidRPr="00000000">
        <w:rPr>
          <w:rtl w:val="0"/>
        </w:rPr>
      </w:r>
    </w:p>
    <w:tbl>
      <w:tblPr>
        <w:tblStyle w:val="Table1"/>
        <w:tblW w:w="9174.0" w:type="dxa"/>
        <w:jc w:val="left"/>
        <w:tblInd w:w="-70.0" w:type="dxa"/>
        <w:tblLayout w:type="fixed"/>
        <w:tblLook w:val="0000"/>
      </w:tblPr>
      <w:tblGrid>
        <w:gridCol w:w="4588"/>
        <w:gridCol w:w="4586"/>
        <w:tblGridChange w:id="0">
          <w:tblGrid>
            <w:gridCol w:w="4588"/>
            <w:gridCol w:w="4586"/>
          </w:tblGrid>
        </w:tblGridChange>
      </w:tblGrid>
      <w:tr>
        <w:trPr>
          <w:cantSplit w:val="1"/>
          <w:trHeight w:val="971" w:hRule="atLeast"/>
          <w:tblHeader w:val="0"/>
        </w:trPr>
        <w:tc>
          <w:tcPr/>
          <w:p w:rsidR="00000000" w:rsidDel="00000000" w:rsidP="00000000" w:rsidRDefault="00000000" w:rsidRPr="00000000" w14:paraId="00000029">
            <w:pPr>
              <w:spacing w:after="0" w:before="8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Za společnost </w:t>
              <w:br w:type="textWrapping"/>
              <w:t xml:space="preserve">Radynet s.r.o.</w:t>
            </w:r>
            <w:r w:rsidDel="00000000" w:rsidR="00000000" w:rsidRPr="00000000">
              <w:rPr>
                <w:rtl w:val="0"/>
              </w:rPr>
            </w:r>
          </w:p>
        </w:tc>
        <w:tc>
          <w:tcPr/>
          <w:p w:rsidR="00000000" w:rsidDel="00000000" w:rsidP="00000000" w:rsidRDefault="00000000" w:rsidRPr="00000000" w14:paraId="0000002A">
            <w:pPr>
              <w:spacing w:after="0" w:before="84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Za společnost </w:t>
              <w:br w:type="textWrapping"/>
              <w:t xml:space="preserve">Partner</w:t>
              <w:br w:type="textWrapping"/>
            </w:r>
            <w:r w:rsidDel="00000000" w:rsidR="00000000" w:rsidRPr="00000000">
              <w:rPr>
                <w:rtl w:val="0"/>
              </w:rPr>
            </w:r>
          </w:p>
        </w:tc>
      </w:tr>
      <w:tr>
        <w:trPr>
          <w:cantSplit w:val="1"/>
          <w:trHeight w:val="152" w:hRule="atLeast"/>
          <w:tblHeader w:val="0"/>
        </w:trPr>
        <w:tc>
          <w:tcPr/>
          <w:p w:rsidR="00000000" w:rsidDel="00000000" w:rsidP="00000000" w:rsidRDefault="00000000" w:rsidRPr="00000000" w14:paraId="0000002B">
            <w:pPr>
              <w:spacing w:after="0" w:before="840"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C">
            <w:pPr>
              <w:spacing w:after="0" w:before="84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D">
      <w:pPr>
        <w:spacing w:after="120" w:line="276"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 w:name="Neo Sans Std"/>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0072.0" w:type="dxa"/>
      <w:jc w:val="left"/>
      <w:tblInd w:w="-432.0" w:type="dxa"/>
      <w:tblLayout w:type="fixed"/>
      <w:tblLook w:val="0000"/>
    </w:tblPr>
    <w:tblGrid>
      <w:gridCol w:w="4118"/>
      <w:gridCol w:w="5954"/>
      <w:tblGridChange w:id="0">
        <w:tblGrid>
          <w:gridCol w:w="4118"/>
          <w:gridCol w:w="5954"/>
        </w:tblGrid>
      </w:tblGridChange>
    </w:tblGrid>
    <w:tr>
      <w:trPr>
        <w:cantSplit w:val="0"/>
        <w:trHeight w:val="1013" w:hRule="atLeast"/>
        <w:tblHeader w:val="0"/>
      </w:trPr>
      <w:tc>
        <w:tcPr/>
        <w:p w:rsidR="00000000" w:rsidDel="00000000" w:rsidP="00000000" w:rsidRDefault="00000000" w:rsidRPr="00000000" w14:paraId="00000030">
          <w:pPr>
            <w:tabs>
              <w:tab w:val="center" w:leader="none" w:pos="4536"/>
              <w:tab w:val="right" w:leader="none" w:pos="9072"/>
            </w:tabs>
            <w:spacing w:after="0" w:line="240" w:lineRule="auto"/>
            <w:ind w:right="360" w:firstLine="148"/>
            <w:rPr>
              <w:rFonts w:ascii="Neo Sans Std" w:cs="Neo Sans Std" w:eastAsia="Neo Sans Std" w:hAnsi="Neo Sans Std"/>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-8254</wp:posOffset>
                </wp:positionH>
                <wp:positionV relativeFrom="paragraph">
                  <wp:posOffset>26670</wp:posOffset>
                </wp:positionV>
                <wp:extent cx="2228850" cy="600075"/>
                <wp:effectExtent b="0" l="0" r="0" t="0"/>
                <wp:wrapNone/>
                <wp:docPr id="76994908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8850" cy="600075"/>
                        </a:xfrm>
                        <a:prstGeom prst="rect"/>
                        <a:ln/>
                      </pic:spPr>
                    </pic:pic>
                  </a:graphicData>
                </a:graphic>
              </wp:anchor>
            </w:drawing>
          </w:r>
        </w:p>
      </w:tc>
      <w:tc>
        <w:tcPr/>
        <w:p w:rsidR="00000000" w:rsidDel="00000000" w:rsidP="00000000" w:rsidRDefault="00000000" w:rsidRPr="00000000" w14:paraId="00000031">
          <w:pPr>
            <w:tabs>
              <w:tab w:val="center" w:leader="none" w:pos="4536"/>
              <w:tab w:val="right" w:leader="none" w:pos="9072"/>
            </w:tabs>
            <w:spacing w:after="0" w:line="240" w:lineRule="auto"/>
            <w:ind w:left="-954" w:right="72" w:firstLine="0"/>
            <w:jc w:val="right"/>
            <w:rPr>
              <w:rFonts w:ascii="Open Sans" w:cs="Open Sans" w:eastAsia="Open Sans" w:hAnsi="Open Sans"/>
              <w:b w:val="1"/>
              <w:sz w:val="16"/>
              <w:szCs w:val="16"/>
            </w:rPr>
          </w:pPr>
          <w:r w:rsidDel="00000000" w:rsidR="00000000" w:rsidRPr="00000000">
            <w:rPr>
              <w:rFonts w:ascii="Neo Sans Std" w:cs="Neo Sans Std" w:eastAsia="Neo Sans Std" w:hAnsi="Neo Sans Std"/>
              <w:sz w:val="18"/>
              <w:szCs w:val="18"/>
              <w:rtl w:val="0"/>
            </w:rPr>
            <w:br w:type="textWrapping"/>
          </w:r>
          <w:r w:rsidDel="00000000" w:rsidR="00000000" w:rsidRPr="00000000">
            <w:rPr>
              <w:rFonts w:ascii="Open Sans" w:cs="Open Sans" w:eastAsia="Open Sans" w:hAnsi="Open Sans"/>
              <w:sz w:val="16"/>
              <w:szCs w:val="16"/>
              <w:rtl w:val="0"/>
            </w:rPr>
            <w:t xml:space="preserve">Tyršova 158, Spálené Poříčí 335 61, IČ:</w:t>
          </w:r>
          <w:r w:rsidDel="00000000" w:rsidR="00000000" w:rsidRPr="00000000">
            <w:rPr>
              <w:rtl w:val="0"/>
            </w:rPr>
            <w:t xml:space="preserve"> </w:t>
          </w:r>
          <w:r w:rsidDel="00000000" w:rsidR="00000000" w:rsidRPr="00000000">
            <w:rPr>
              <w:rFonts w:ascii="Open Sans" w:cs="Open Sans" w:eastAsia="Open Sans" w:hAnsi="Open Sans"/>
              <w:sz w:val="16"/>
              <w:szCs w:val="16"/>
              <w:rtl w:val="0"/>
            </w:rPr>
            <w:t xml:space="preserve">02757125, DIČ: CZ02757125</w:t>
          </w:r>
          <w:r w:rsidDel="00000000" w:rsidR="00000000" w:rsidRPr="00000000">
            <w:rPr>
              <w:rtl w:val="0"/>
            </w:rPr>
          </w:r>
        </w:p>
        <w:p w:rsidR="00000000" w:rsidDel="00000000" w:rsidP="00000000" w:rsidRDefault="00000000" w:rsidRPr="00000000" w14:paraId="00000032">
          <w:pPr>
            <w:tabs>
              <w:tab w:val="center" w:leader="none" w:pos="4536"/>
              <w:tab w:val="right" w:leader="none" w:pos="9072"/>
            </w:tabs>
            <w:spacing w:after="0" w:line="240" w:lineRule="auto"/>
            <w:ind w:left="-954" w:right="72"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e-mail: </w:t>
          </w:r>
          <w:hyperlink r:id="rId2">
            <w:r w:rsidDel="00000000" w:rsidR="00000000" w:rsidRPr="00000000">
              <w:rPr>
                <w:rFonts w:ascii="Open Sans" w:cs="Open Sans" w:eastAsia="Open Sans" w:hAnsi="Open Sans"/>
                <w:color w:val="00b0f0"/>
                <w:sz w:val="16"/>
                <w:szCs w:val="16"/>
                <w:u w:val="single"/>
                <w:rtl w:val="0"/>
              </w:rPr>
              <w:t xml:space="preserve">kontakt@internethned.cz</w:t>
            </w:r>
          </w:hyperlink>
          <w:r w:rsidDel="00000000" w:rsidR="00000000" w:rsidRPr="00000000">
            <w:rPr>
              <w:rFonts w:ascii="Open Sans" w:cs="Open Sans" w:eastAsia="Open Sans" w:hAnsi="Open Sans"/>
              <w:sz w:val="16"/>
              <w:szCs w:val="16"/>
              <w:rtl w:val="0"/>
            </w:rPr>
            <w:br w:type="textWrapping"/>
            <w:t xml:space="preserve">web: </w:t>
          </w:r>
          <w:hyperlink r:id="rId3">
            <w:r w:rsidDel="00000000" w:rsidR="00000000" w:rsidRPr="00000000">
              <w:rPr>
                <w:rFonts w:ascii="Open Sans" w:cs="Open Sans" w:eastAsia="Open Sans" w:hAnsi="Open Sans"/>
                <w:color w:val="00b0f0"/>
                <w:sz w:val="16"/>
                <w:szCs w:val="16"/>
                <w:u w:val="single"/>
                <w:rtl w:val="0"/>
              </w:rPr>
              <w:t xml:space="preserve">www.radynet.cz</w:t>
            </w:r>
          </w:hyperlink>
          <w:r w:rsidDel="00000000" w:rsidR="00000000" w:rsidRPr="00000000">
            <w:rPr>
              <w:rtl w:val="0"/>
            </w:rPr>
          </w:r>
        </w:p>
        <w:p w:rsidR="00000000" w:rsidDel="00000000" w:rsidP="00000000" w:rsidRDefault="00000000" w:rsidRPr="00000000" w14:paraId="00000033">
          <w:pPr>
            <w:tabs>
              <w:tab w:val="center" w:leader="none" w:pos="4536"/>
              <w:tab w:val="right" w:leader="none" w:pos="9072"/>
            </w:tabs>
            <w:spacing w:after="0" w:line="240" w:lineRule="auto"/>
            <w:ind w:left="-954" w:right="72" w:firstLine="0"/>
            <w:jc w:val="right"/>
            <w:rPr>
              <w:rFonts w:ascii="Neo Sans Std" w:cs="Neo Sans Std" w:eastAsia="Neo Sans Std" w:hAnsi="Neo Sans Std"/>
              <w:b w:val="1"/>
              <w:color w:val="38761d"/>
              <w:sz w:val="14"/>
              <w:szCs w:val="14"/>
            </w:rPr>
          </w:pPr>
          <w:r w:rsidDel="00000000" w:rsidR="00000000" w:rsidRPr="00000000">
            <w:rPr>
              <w:rFonts w:ascii="Open Sans" w:cs="Open Sans" w:eastAsia="Open Sans" w:hAnsi="Open Sans"/>
              <w:sz w:val="16"/>
              <w:szCs w:val="16"/>
              <w:rtl w:val="0"/>
            </w:rPr>
            <w:t xml:space="preserve">tel.: </w:t>
          </w:r>
          <w:r w:rsidDel="00000000" w:rsidR="00000000" w:rsidRPr="00000000">
            <w:rPr>
              <w:rFonts w:ascii="Open Sans" w:cs="Open Sans" w:eastAsia="Open Sans" w:hAnsi="Open Sans"/>
              <w:b w:val="1"/>
              <w:color w:val="92d050"/>
              <w:sz w:val="16"/>
              <w:szCs w:val="16"/>
              <w:rtl w:val="0"/>
            </w:rPr>
            <w:t xml:space="preserve">800 753 753</w:t>
          </w:r>
          <w:r w:rsidDel="00000000" w:rsidR="00000000" w:rsidRPr="00000000">
            <w:rPr>
              <w:rtl w:val="0"/>
            </w:rPr>
          </w:r>
        </w:p>
      </w:tc>
    </w:tr>
  </w:tb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67" w:hanging="567"/>
      </w:pPr>
      <w:rPr>
        <w:u w:val="none"/>
      </w:rPr>
    </w:lvl>
    <w:lvl w:ilvl="1">
      <w:start w:val="1"/>
      <w:numFmt w:val="decimal"/>
      <w:lvlText w:val="%1.%2."/>
      <w:lvlJc w:val="left"/>
      <w:pPr>
        <w:ind w:left="567" w:hanging="567"/>
      </w:pPr>
      <w:rPr>
        <w:u w:val="none"/>
      </w:rPr>
    </w:lvl>
    <w:lvl w:ilvl="2">
      <w:start w:val="1"/>
      <w:numFmt w:val="decimal"/>
      <w:lvlText w:val="%1.%2.%3."/>
      <w:lvlJc w:val="left"/>
      <w:pPr>
        <w:ind w:left="567" w:hanging="567"/>
      </w:pPr>
      <w:rPr>
        <w:u w:val="none"/>
      </w:rPr>
    </w:lvl>
    <w:lvl w:ilvl="3">
      <w:start w:val="1"/>
      <w:numFmt w:val="decimal"/>
      <w:lvlText w:val="%1.%2.%3.%4."/>
      <w:lvlJc w:val="left"/>
      <w:pPr>
        <w:ind w:left="567" w:hanging="567"/>
      </w:pPr>
      <w:rPr>
        <w:u w:val="none"/>
      </w:rPr>
    </w:lvl>
    <w:lvl w:ilvl="4">
      <w:start w:val="1"/>
      <w:numFmt w:val="decimal"/>
      <w:lvlText w:val="%1.%2.%3.%4.%5."/>
      <w:lvlJc w:val="left"/>
      <w:pPr>
        <w:ind w:left="567" w:hanging="567"/>
      </w:pPr>
      <w:rPr>
        <w:u w:val="none"/>
      </w:rPr>
    </w:lvl>
    <w:lvl w:ilvl="5">
      <w:start w:val="1"/>
      <w:numFmt w:val="decimal"/>
      <w:lvlText w:val="%1.%2.%3.%4.%5.%6."/>
      <w:lvlJc w:val="left"/>
      <w:pPr>
        <w:ind w:left="567" w:hanging="567"/>
      </w:pPr>
      <w:rPr>
        <w:u w:val="none"/>
      </w:rPr>
    </w:lvl>
    <w:lvl w:ilvl="6">
      <w:start w:val="1"/>
      <w:numFmt w:val="decimal"/>
      <w:lvlText w:val="%1.%2.%3.%4.%5.%6.%7."/>
      <w:lvlJc w:val="left"/>
      <w:pPr>
        <w:ind w:left="567" w:hanging="567"/>
      </w:pPr>
      <w:rPr>
        <w:u w:val="none"/>
      </w:rPr>
    </w:lvl>
    <w:lvl w:ilvl="7">
      <w:start w:val="1"/>
      <w:numFmt w:val="decimal"/>
      <w:lvlText w:val="%1.%2.%3.%4.%5.%6.%7.%8."/>
      <w:lvlJc w:val="left"/>
      <w:pPr>
        <w:ind w:left="567" w:hanging="567"/>
      </w:pPr>
      <w:rPr>
        <w:u w:val="none"/>
      </w:rPr>
    </w:lvl>
    <w:lvl w:ilvl="8">
      <w:start w:val="1"/>
      <w:numFmt w:val="decimal"/>
      <w:lvlText w:val="%1.%2.%3.%4.%5.%6.%7.%8.%9."/>
      <w:lvlJc w:val="left"/>
      <w:pPr>
        <w:ind w:left="567" w:hanging="567"/>
      </w:pPr>
      <w:rPr>
        <w:u w:val="none"/>
      </w:rPr>
    </w:lvl>
  </w:abstractNum>
  <w:abstractNum w:abstractNumId="2">
    <w:lvl w:ilvl="0">
      <w:start w:val="1"/>
      <w:numFmt w:val="decimal"/>
      <w:lvlText w:val="%1"/>
      <w:lvlJc w:val="left"/>
      <w:pPr>
        <w:ind w:left="567" w:hanging="567"/>
      </w:pPr>
      <w:rPr>
        <w:u w:val="none"/>
      </w:rPr>
    </w:lvl>
    <w:lvl w:ilvl="1">
      <w:start w:val="1"/>
      <w:numFmt w:val="decimal"/>
      <w:lvlText w:val="%1.%2."/>
      <w:lvlJc w:val="left"/>
      <w:pPr>
        <w:ind w:left="567" w:hanging="567"/>
      </w:pPr>
      <w:rPr>
        <w:u w:val="none"/>
      </w:rPr>
    </w:lvl>
    <w:lvl w:ilvl="2">
      <w:start w:val="1"/>
      <w:numFmt w:val="decimal"/>
      <w:lvlText w:val="%1.%2.%3."/>
      <w:lvlJc w:val="left"/>
      <w:pPr>
        <w:ind w:left="567" w:hanging="567"/>
      </w:pPr>
      <w:rPr>
        <w:u w:val="none"/>
      </w:rPr>
    </w:lvl>
    <w:lvl w:ilvl="3">
      <w:start w:val="1"/>
      <w:numFmt w:val="decimal"/>
      <w:lvlText w:val="%1.%2.%3.%4."/>
      <w:lvlJc w:val="left"/>
      <w:pPr>
        <w:ind w:left="567" w:hanging="567"/>
      </w:pPr>
      <w:rPr>
        <w:u w:val="none"/>
      </w:rPr>
    </w:lvl>
    <w:lvl w:ilvl="4">
      <w:start w:val="1"/>
      <w:numFmt w:val="decimal"/>
      <w:lvlText w:val="%1.%2.%3.%4.%5."/>
      <w:lvlJc w:val="left"/>
      <w:pPr>
        <w:ind w:left="567" w:hanging="567"/>
      </w:pPr>
      <w:rPr>
        <w:u w:val="none"/>
      </w:rPr>
    </w:lvl>
    <w:lvl w:ilvl="5">
      <w:start w:val="1"/>
      <w:numFmt w:val="decimal"/>
      <w:lvlText w:val="%1.%2.%3.%4.%5.%6."/>
      <w:lvlJc w:val="left"/>
      <w:pPr>
        <w:ind w:left="567" w:hanging="567"/>
      </w:pPr>
      <w:rPr>
        <w:u w:val="none"/>
      </w:rPr>
    </w:lvl>
    <w:lvl w:ilvl="6">
      <w:start w:val="1"/>
      <w:numFmt w:val="decimal"/>
      <w:lvlText w:val="%1.%2.%3.%4.%5.%6.%7."/>
      <w:lvlJc w:val="left"/>
      <w:pPr>
        <w:ind w:left="567" w:hanging="567"/>
      </w:pPr>
      <w:rPr>
        <w:u w:val="none"/>
      </w:rPr>
    </w:lvl>
    <w:lvl w:ilvl="7">
      <w:start w:val="1"/>
      <w:numFmt w:val="decimal"/>
      <w:lvlText w:val="%1.%2.%3.%4.%5.%6.%7.%8."/>
      <w:lvlJc w:val="left"/>
      <w:pPr>
        <w:ind w:left="567" w:hanging="567"/>
      </w:pPr>
      <w:rPr>
        <w:u w:val="none"/>
      </w:rPr>
    </w:lvl>
    <w:lvl w:ilvl="8">
      <w:start w:val="1"/>
      <w:numFmt w:val="decimal"/>
      <w:lvlText w:val="%1.%2.%3.%4.%5.%6.%7.%8.%9."/>
      <w:lvlJc w:val="left"/>
      <w:pPr>
        <w:ind w:left="567" w:hanging="567"/>
      </w:pPr>
      <w:rPr>
        <w:u w:val="none"/>
      </w:rPr>
    </w:lvl>
  </w:abstractNum>
  <w:abstractNum w:abstractNumId="3">
    <w:lvl w:ilvl="0">
      <w:start w:val="1"/>
      <w:numFmt w:val="decimal"/>
      <w:lvlText w:val="%1"/>
      <w:lvlJc w:val="left"/>
      <w:pPr>
        <w:ind w:left="567" w:hanging="567"/>
      </w:pPr>
      <w:rPr>
        <w:u w:val="none"/>
      </w:rPr>
    </w:lvl>
    <w:lvl w:ilvl="1">
      <w:start w:val="1"/>
      <w:numFmt w:val="decimal"/>
      <w:lvlText w:val="%1.%2."/>
      <w:lvlJc w:val="left"/>
      <w:pPr>
        <w:ind w:left="567" w:hanging="567"/>
      </w:pPr>
      <w:rPr>
        <w:u w:val="none"/>
      </w:rPr>
    </w:lvl>
    <w:lvl w:ilvl="2">
      <w:start w:val="1"/>
      <w:numFmt w:val="decimal"/>
      <w:lvlText w:val="%1.%2.%3."/>
      <w:lvlJc w:val="left"/>
      <w:pPr>
        <w:ind w:left="567" w:hanging="567"/>
      </w:pPr>
      <w:rPr>
        <w:u w:val="none"/>
      </w:rPr>
    </w:lvl>
    <w:lvl w:ilvl="3">
      <w:start w:val="1"/>
      <w:numFmt w:val="decimal"/>
      <w:lvlText w:val="%1.%2.%3.%4."/>
      <w:lvlJc w:val="left"/>
      <w:pPr>
        <w:ind w:left="567" w:hanging="567"/>
      </w:pPr>
      <w:rPr>
        <w:u w:val="none"/>
      </w:rPr>
    </w:lvl>
    <w:lvl w:ilvl="4">
      <w:start w:val="1"/>
      <w:numFmt w:val="decimal"/>
      <w:lvlText w:val="%1.%2.%3.%4.%5."/>
      <w:lvlJc w:val="left"/>
      <w:pPr>
        <w:ind w:left="567" w:hanging="567"/>
      </w:pPr>
      <w:rPr>
        <w:u w:val="none"/>
      </w:rPr>
    </w:lvl>
    <w:lvl w:ilvl="5">
      <w:start w:val="1"/>
      <w:numFmt w:val="decimal"/>
      <w:lvlText w:val="%1.%2.%3.%4.%5.%6."/>
      <w:lvlJc w:val="left"/>
      <w:pPr>
        <w:ind w:left="567" w:hanging="567"/>
      </w:pPr>
      <w:rPr>
        <w:u w:val="none"/>
      </w:rPr>
    </w:lvl>
    <w:lvl w:ilvl="6">
      <w:start w:val="1"/>
      <w:numFmt w:val="decimal"/>
      <w:lvlText w:val="%1.%2.%3.%4.%5.%6.%7."/>
      <w:lvlJc w:val="left"/>
      <w:pPr>
        <w:ind w:left="567" w:hanging="567"/>
      </w:pPr>
      <w:rPr>
        <w:u w:val="none"/>
      </w:rPr>
    </w:lvl>
    <w:lvl w:ilvl="7">
      <w:start w:val="1"/>
      <w:numFmt w:val="decimal"/>
      <w:lvlText w:val="%1.%2.%3.%4.%5.%6.%7.%8."/>
      <w:lvlJc w:val="left"/>
      <w:pPr>
        <w:ind w:left="567" w:hanging="567"/>
      </w:pPr>
      <w:rPr>
        <w:u w:val="none"/>
      </w:rPr>
    </w:lvl>
    <w:lvl w:ilvl="8">
      <w:start w:val="1"/>
      <w:numFmt w:val="decimal"/>
      <w:lvlText w:val="%1.%2.%3.%4.%5.%6.%7.%8.%9."/>
      <w:lvlJc w:val="left"/>
      <w:pPr>
        <w:ind w:left="567" w:hanging="567"/>
      </w:pPr>
      <w:rPr>
        <w:u w:val="none"/>
      </w:rPr>
    </w:lvl>
  </w:abstractNum>
  <w:abstractNum w:abstractNumId="4">
    <w:lvl w:ilvl="0">
      <w:start w:val="1"/>
      <w:numFmt w:val="decimal"/>
      <w:lvlText w:val="%1"/>
      <w:lvlJc w:val="left"/>
      <w:pPr>
        <w:ind w:left="567" w:hanging="567"/>
      </w:pPr>
      <w:rPr>
        <w:u w:val="none"/>
      </w:rPr>
    </w:lvl>
    <w:lvl w:ilvl="1">
      <w:start w:val="1"/>
      <w:numFmt w:val="decimal"/>
      <w:lvlText w:val="%1.%2."/>
      <w:lvlJc w:val="left"/>
      <w:pPr>
        <w:ind w:left="567" w:hanging="567"/>
      </w:pPr>
      <w:rPr>
        <w:u w:val="none"/>
      </w:rPr>
    </w:lvl>
    <w:lvl w:ilvl="2">
      <w:start w:val="1"/>
      <w:numFmt w:val="decimal"/>
      <w:lvlText w:val="%1.%2.%3."/>
      <w:lvlJc w:val="left"/>
      <w:pPr>
        <w:ind w:left="567" w:hanging="567"/>
      </w:pPr>
      <w:rPr>
        <w:u w:val="none"/>
      </w:rPr>
    </w:lvl>
    <w:lvl w:ilvl="3">
      <w:start w:val="1"/>
      <w:numFmt w:val="decimal"/>
      <w:lvlText w:val="%1.%2.%3.%4."/>
      <w:lvlJc w:val="left"/>
      <w:pPr>
        <w:ind w:left="567" w:hanging="567"/>
      </w:pPr>
      <w:rPr>
        <w:u w:val="none"/>
      </w:rPr>
    </w:lvl>
    <w:lvl w:ilvl="4">
      <w:start w:val="1"/>
      <w:numFmt w:val="decimal"/>
      <w:lvlText w:val="%1.%2.%3.%4.%5."/>
      <w:lvlJc w:val="left"/>
      <w:pPr>
        <w:ind w:left="567" w:hanging="567"/>
      </w:pPr>
      <w:rPr>
        <w:u w:val="none"/>
      </w:rPr>
    </w:lvl>
    <w:lvl w:ilvl="5">
      <w:start w:val="1"/>
      <w:numFmt w:val="decimal"/>
      <w:lvlText w:val="%1.%2.%3.%4.%5.%6."/>
      <w:lvlJc w:val="left"/>
      <w:pPr>
        <w:ind w:left="567" w:hanging="567"/>
      </w:pPr>
      <w:rPr>
        <w:u w:val="none"/>
      </w:rPr>
    </w:lvl>
    <w:lvl w:ilvl="6">
      <w:start w:val="1"/>
      <w:numFmt w:val="decimal"/>
      <w:lvlText w:val="%1.%2.%3.%4.%5.%6.%7."/>
      <w:lvlJc w:val="left"/>
      <w:pPr>
        <w:ind w:left="567" w:hanging="567"/>
      </w:pPr>
      <w:rPr>
        <w:u w:val="none"/>
      </w:rPr>
    </w:lvl>
    <w:lvl w:ilvl="7">
      <w:start w:val="1"/>
      <w:numFmt w:val="decimal"/>
      <w:lvlText w:val="%1.%2.%3.%4.%5.%6.%7.%8."/>
      <w:lvlJc w:val="left"/>
      <w:pPr>
        <w:ind w:left="567" w:hanging="567"/>
      </w:pPr>
      <w:rPr>
        <w:u w:val="none"/>
      </w:rPr>
    </w:lvl>
    <w:lvl w:ilvl="8">
      <w:start w:val="1"/>
      <w:numFmt w:val="decimal"/>
      <w:lvlText w:val="%1.%2.%3.%4.%5.%6.%7.%8.%9."/>
      <w:lvlJc w:val="left"/>
      <w:pPr>
        <w:ind w:left="567" w:hanging="567"/>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c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ln" w:default="1">
    <w:name w:val="Normal"/>
    <w:qFormat w:val="1"/>
  </w:style>
  <w:style w:type="paragraph" w:styleId="Nadpis1">
    <w:name w:val="heading 1"/>
    <w:basedOn w:val="Normln"/>
    <w:next w:val="Normln"/>
    <w:link w:val="Nadpis1Char"/>
    <w:uiPriority w:val="9"/>
    <w:qFormat w:val="1"/>
    <w:rsid w:val="00F423F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dpis2">
    <w:name w:val="heading 2"/>
    <w:basedOn w:val="Normln"/>
    <w:next w:val="Normln"/>
    <w:link w:val="Nadpis2Char"/>
    <w:uiPriority w:val="9"/>
    <w:semiHidden w:val="1"/>
    <w:unhideWhenUsed w:val="1"/>
    <w:qFormat w:val="1"/>
    <w:rsid w:val="00F423F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dpis3">
    <w:name w:val="heading 3"/>
    <w:basedOn w:val="Normln"/>
    <w:next w:val="Normln"/>
    <w:link w:val="Nadpis3Char"/>
    <w:uiPriority w:val="9"/>
    <w:semiHidden w:val="1"/>
    <w:unhideWhenUsed w:val="1"/>
    <w:qFormat w:val="1"/>
    <w:rsid w:val="00F423FA"/>
    <w:pPr>
      <w:keepNext w:val="1"/>
      <w:keepLines w:val="1"/>
      <w:spacing w:after="80" w:before="160"/>
      <w:outlineLvl w:val="2"/>
    </w:pPr>
    <w:rPr>
      <w:rFonts w:cstheme="majorBidi" w:eastAsiaTheme="majorEastAsia"/>
      <w:color w:val="0f4761" w:themeColor="accent1" w:themeShade="0000BF"/>
      <w:sz w:val="28"/>
      <w:szCs w:val="28"/>
    </w:rPr>
  </w:style>
  <w:style w:type="paragraph" w:styleId="Nadpis4">
    <w:name w:val="heading 4"/>
    <w:basedOn w:val="Normln"/>
    <w:next w:val="Normln"/>
    <w:link w:val="Nadpis4Char"/>
    <w:uiPriority w:val="9"/>
    <w:semiHidden w:val="1"/>
    <w:unhideWhenUsed w:val="1"/>
    <w:qFormat w:val="1"/>
    <w:rsid w:val="00F423FA"/>
    <w:pPr>
      <w:keepNext w:val="1"/>
      <w:keepLines w:val="1"/>
      <w:spacing w:after="40" w:before="80"/>
      <w:outlineLvl w:val="3"/>
    </w:pPr>
    <w:rPr>
      <w:rFonts w:cstheme="majorBidi" w:eastAsiaTheme="majorEastAsia"/>
      <w:i w:val="1"/>
      <w:iCs w:val="1"/>
      <w:color w:val="0f4761" w:themeColor="accent1" w:themeShade="0000BF"/>
    </w:rPr>
  </w:style>
  <w:style w:type="paragraph" w:styleId="Nadpis5">
    <w:name w:val="heading 5"/>
    <w:basedOn w:val="Normln"/>
    <w:next w:val="Normln"/>
    <w:link w:val="Nadpis5Char"/>
    <w:uiPriority w:val="9"/>
    <w:semiHidden w:val="1"/>
    <w:unhideWhenUsed w:val="1"/>
    <w:qFormat w:val="1"/>
    <w:rsid w:val="00F423FA"/>
    <w:pPr>
      <w:keepNext w:val="1"/>
      <w:keepLines w:val="1"/>
      <w:spacing w:after="40" w:before="80"/>
      <w:outlineLvl w:val="4"/>
    </w:pPr>
    <w:rPr>
      <w:rFonts w:cstheme="majorBidi" w:eastAsiaTheme="majorEastAsia"/>
      <w:color w:val="0f4761" w:themeColor="accent1" w:themeShade="0000BF"/>
    </w:rPr>
  </w:style>
  <w:style w:type="paragraph" w:styleId="Nadpis6">
    <w:name w:val="heading 6"/>
    <w:basedOn w:val="Normln"/>
    <w:next w:val="Normln"/>
    <w:link w:val="Nadpis6Char"/>
    <w:uiPriority w:val="9"/>
    <w:semiHidden w:val="1"/>
    <w:unhideWhenUsed w:val="1"/>
    <w:qFormat w:val="1"/>
    <w:rsid w:val="00F423FA"/>
    <w:pPr>
      <w:keepNext w:val="1"/>
      <w:keepLines w:val="1"/>
      <w:spacing w:after="0" w:before="40"/>
      <w:outlineLvl w:val="5"/>
    </w:pPr>
    <w:rPr>
      <w:rFonts w:cstheme="majorBidi" w:eastAsiaTheme="majorEastAsia"/>
      <w:i w:val="1"/>
      <w:iCs w:val="1"/>
      <w:color w:val="595959" w:themeColor="text1" w:themeTint="0000A6"/>
    </w:rPr>
  </w:style>
  <w:style w:type="paragraph" w:styleId="Nadpis7">
    <w:name w:val="heading 7"/>
    <w:basedOn w:val="Normln"/>
    <w:next w:val="Normln"/>
    <w:link w:val="Nadpis7Char"/>
    <w:uiPriority w:val="9"/>
    <w:semiHidden w:val="1"/>
    <w:unhideWhenUsed w:val="1"/>
    <w:qFormat w:val="1"/>
    <w:rsid w:val="00F423FA"/>
    <w:pPr>
      <w:keepNext w:val="1"/>
      <w:keepLines w:val="1"/>
      <w:spacing w:after="0" w:before="40"/>
      <w:outlineLvl w:val="6"/>
    </w:pPr>
    <w:rPr>
      <w:rFonts w:cstheme="majorBidi" w:eastAsiaTheme="majorEastAsia"/>
      <w:color w:val="595959" w:themeColor="text1" w:themeTint="0000A6"/>
    </w:rPr>
  </w:style>
  <w:style w:type="paragraph" w:styleId="Nadpis8">
    <w:name w:val="heading 8"/>
    <w:basedOn w:val="Normln"/>
    <w:next w:val="Normln"/>
    <w:link w:val="Nadpis8Char"/>
    <w:uiPriority w:val="9"/>
    <w:semiHidden w:val="1"/>
    <w:unhideWhenUsed w:val="1"/>
    <w:qFormat w:val="1"/>
    <w:rsid w:val="00F423FA"/>
    <w:pPr>
      <w:keepNext w:val="1"/>
      <w:keepLines w:val="1"/>
      <w:spacing w:after="0"/>
      <w:outlineLvl w:val="7"/>
    </w:pPr>
    <w:rPr>
      <w:rFonts w:cstheme="majorBidi" w:eastAsiaTheme="majorEastAsia"/>
      <w:i w:val="1"/>
      <w:iCs w:val="1"/>
      <w:color w:val="272727" w:themeColor="text1" w:themeTint="0000D8"/>
    </w:rPr>
  </w:style>
  <w:style w:type="paragraph" w:styleId="Nadpis9">
    <w:name w:val="heading 9"/>
    <w:basedOn w:val="Normln"/>
    <w:next w:val="Normln"/>
    <w:link w:val="Nadpis9Char"/>
    <w:uiPriority w:val="9"/>
    <w:semiHidden w:val="1"/>
    <w:unhideWhenUsed w:val="1"/>
    <w:qFormat w:val="1"/>
    <w:rsid w:val="00F423FA"/>
    <w:pPr>
      <w:keepNext w:val="1"/>
      <w:keepLines w:val="1"/>
      <w:spacing w:after="0"/>
      <w:outlineLvl w:val="8"/>
    </w:pPr>
    <w:rPr>
      <w:rFonts w:cstheme="majorBidi" w:eastAsiaTheme="majorEastAsia"/>
      <w:color w:val="272727" w:themeColor="text1" w:themeTint="0000D8"/>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sid w:val="00F423FA"/>
    <w:rPr>
      <w:rFonts w:asciiTheme="majorHAnsi" w:cstheme="majorBidi" w:eastAsiaTheme="majorEastAsia" w:hAnsiTheme="majorHAnsi"/>
      <w:color w:val="0f4761" w:themeColor="accent1" w:themeShade="0000BF"/>
      <w:sz w:val="40"/>
      <w:szCs w:val="40"/>
    </w:rPr>
  </w:style>
  <w:style w:type="character" w:styleId="Nadpis2Char" w:customStyle="1">
    <w:name w:val="Nadpis 2 Char"/>
    <w:basedOn w:val="Standardnpsmoodstavce"/>
    <w:link w:val="Nadpis2"/>
    <w:uiPriority w:val="9"/>
    <w:semiHidden w:val="1"/>
    <w:rsid w:val="00F423FA"/>
    <w:rPr>
      <w:rFonts w:asciiTheme="majorHAnsi" w:cstheme="majorBidi" w:eastAsiaTheme="majorEastAsia" w:hAnsiTheme="majorHAnsi"/>
      <w:color w:val="0f4761" w:themeColor="accent1" w:themeShade="0000BF"/>
      <w:sz w:val="32"/>
      <w:szCs w:val="32"/>
    </w:rPr>
  </w:style>
  <w:style w:type="character" w:styleId="Nadpis3Char" w:customStyle="1">
    <w:name w:val="Nadpis 3 Char"/>
    <w:basedOn w:val="Standardnpsmoodstavce"/>
    <w:link w:val="Nadpis3"/>
    <w:uiPriority w:val="9"/>
    <w:semiHidden w:val="1"/>
    <w:rsid w:val="00F423FA"/>
    <w:rPr>
      <w:rFonts w:cstheme="majorBidi" w:eastAsiaTheme="majorEastAsia"/>
      <w:color w:val="0f4761" w:themeColor="accent1" w:themeShade="0000BF"/>
      <w:sz w:val="28"/>
      <w:szCs w:val="28"/>
    </w:rPr>
  </w:style>
  <w:style w:type="character" w:styleId="Nadpis4Char" w:customStyle="1">
    <w:name w:val="Nadpis 4 Char"/>
    <w:basedOn w:val="Standardnpsmoodstavce"/>
    <w:link w:val="Nadpis4"/>
    <w:uiPriority w:val="9"/>
    <w:semiHidden w:val="1"/>
    <w:rsid w:val="00F423FA"/>
    <w:rPr>
      <w:rFonts w:cstheme="majorBidi" w:eastAsiaTheme="majorEastAsia"/>
      <w:i w:val="1"/>
      <w:iCs w:val="1"/>
      <w:color w:val="0f4761" w:themeColor="accent1" w:themeShade="0000BF"/>
    </w:rPr>
  </w:style>
  <w:style w:type="character" w:styleId="Nadpis5Char" w:customStyle="1">
    <w:name w:val="Nadpis 5 Char"/>
    <w:basedOn w:val="Standardnpsmoodstavce"/>
    <w:link w:val="Nadpis5"/>
    <w:uiPriority w:val="9"/>
    <w:semiHidden w:val="1"/>
    <w:rsid w:val="00F423FA"/>
    <w:rPr>
      <w:rFonts w:cstheme="majorBidi" w:eastAsiaTheme="majorEastAsia"/>
      <w:color w:val="0f4761" w:themeColor="accent1" w:themeShade="0000BF"/>
    </w:rPr>
  </w:style>
  <w:style w:type="character" w:styleId="Nadpis6Char" w:customStyle="1">
    <w:name w:val="Nadpis 6 Char"/>
    <w:basedOn w:val="Standardnpsmoodstavce"/>
    <w:link w:val="Nadpis6"/>
    <w:uiPriority w:val="9"/>
    <w:semiHidden w:val="1"/>
    <w:rsid w:val="00F423FA"/>
    <w:rPr>
      <w:rFonts w:cstheme="majorBidi" w:eastAsiaTheme="majorEastAsia"/>
      <w:i w:val="1"/>
      <w:iCs w:val="1"/>
      <w:color w:val="595959" w:themeColor="text1" w:themeTint="0000A6"/>
    </w:rPr>
  </w:style>
  <w:style w:type="character" w:styleId="Nadpis7Char" w:customStyle="1">
    <w:name w:val="Nadpis 7 Char"/>
    <w:basedOn w:val="Standardnpsmoodstavce"/>
    <w:link w:val="Nadpis7"/>
    <w:uiPriority w:val="9"/>
    <w:semiHidden w:val="1"/>
    <w:rsid w:val="00F423FA"/>
    <w:rPr>
      <w:rFonts w:cstheme="majorBidi" w:eastAsiaTheme="majorEastAsia"/>
      <w:color w:val="595959" w:themeColor="text1" w:themeTint="0000A6"/>
    </w:rPr>
  </w:style>
  <w:style w:type="character" w:styleId="Nadpis8Char" w:customStyle="1">
    <w:name w:val="Nadpis 8 Char"/>
    <w:basedOn w:val="Standardnpsmoodstavce"/>
    <w:link w:val="Nadpis8"/>
    <w:uiPriority w:val="9"/>
    <w:semiHidden w:val="1"/>
    <w:rsid w:val="00F423FA"/>
    <w:rPr>
      <w:rFonts w:cstheme="majorBidi" w:eastAsiaTheme="majorEastAsia"/>
      <w:i w:val="1"/>
      <w:iCs w:val="1"/>
      <w:color w:val="272727" w:themeColor="text1" w:themeTint="0000D8"/>
    </w:rPr>
  </w:style>
  <w:style w:type="character" w:styleId="Nadpis9Char" w:customStyle="1">
    <w:name w:val="Nadpis 9 Char"/>
    <w:basedOn w:val="Standardnpsmoodstavce"/>
    <w:link w:val="Nadpis9"/>
    <w:uiPriority w:val="9"/>
    <w:semiHidden w:val="1"/>
    <w:rsid w:val="00F423FA"/>
    <w:rPr>
      <w:rFonts w:cstheme="majorBidi" w:eastAsiaTheme="majorEastAsia"/>
      <w:color w:val="272727" w:themeColor="text1" w:themeTint="0000D8"/>
    </w:rPr>
  </w:style>
  <w:style w:type="paragraph" w:styleId="Nzev">
    <w:name w:val="Title"/>
    <w:basedOn w:val="Normln"/>
    <w:next w:val="Normln"/>
    <w:link w:val="NzevChar"/>
    <w:uiPriority w:val="10"/>
    <w:qFormat w:val="1"/>
    <w:rsid w:val="00F423FA"/>
    <w:pPr>
      <w:spacing w:after="80" w:line="240" w:lineRule="auto"/>
      <w:contextualSpacing w:val="1"/>
    </w:pPr>
    <w:rPr>
      <w:rFonts w:asciiTheme="majorHAnsi" w:cstheme="majorBidi" w:eastAsiaTheme="majorEastAsia" w:hAnsiTheme="majorHAnsi"/>
      <w:spacing w:val="-10"/>
      <w:kern w:val="28"/>
      <w:sz w:val="56"/>
      <w:szCs w:val="56"/>
    </w:rPr>
  </w:style>
  <w:style w:type="character" w:styleId="NzevChar" w:customStyle="1">
    <w:name w:val="Název Char"/>
    <w:basedOn w:val="Standardnpsmoodstavce"/>
    <w:link w:val="Nzev"/>
    <w:uiPriority w:val="10"/>
    <w:rsid w:val="00F423FA"/>
    <w:rPr>
      <w:rFonts w:asciiTheme="majorHAnsi" w:cstheme="majorBidi" w:eastAsiaTheme="majorEastAsia" w:hAnsiTheme="majorHAnsi"/>
      <w:spacing w:val="-10"/>
      <w:kern w:val="28"/>
      <w:sz w:val="56"/>
      <w:szCs w:val="56"/>
    </w:rPr>
  </w:style>
  <w:style w:type="paragraph" w:styleId="Podnadpis">
    <w:name w:val="Subtitle"/>
    <w:basedOn w:val="Normln"/>
    <w:next w:val="Normln"/>
    <w:link w:val="PodnadpisChar"/>
    <w:uiPriority w:val="11"/>
    <w:qFormat w:val="1"/>
    <w:rsid w:val="00F423FA"/>
    <w:pPr>
      <w:numPr>
        <w:ilvl w:val="1"/>
      </w:numPr>
    </w:pPr>
    <w:rPr>
      <w:rFonts w:cstheme="majorBidi" w:eastAsiaTheme="majorEastAsia"/>
      <w:color w:val="595959" w:themeColor="text1" w:themeTint="0000A6"/>
      <w:spacing w:val="15"/>
      <w:sz w:val="28"/>
      <w:szCs w:val="28"/>
    </w:rPr>
  </w:style>
  <w:style w:type="character" w:styleId="PodnadpisChar" w:customStyle="1">
    <w:name w:val="Podnadpis Char"/>
    <w:basedOn w:val="Standardnpsmoodstavce"/>
    <w:link w:val="Podnadpis"/>
    <w:uiPriority w:val="11"/>
    <w:rsid w:val="00F423FA"/>
    <w:rPr>
      <w:rFonts w:cstheme="majorBidi" w:eastAsiaTheme="majorEastAsia"/>
      <w:color w:val="595959" w:themeColor="text1" w:themeTint="0000A6"/>
      <w:spacing w:val="15"/>
      <w:sz w:val="28"/>
      <w:szCs w:val="28"/>
    </w:rPr>
  </w:style>
  <w:style w:type="paragraph" w:styleId="Citt">
    <w:name w:val="Quote"/>
    <w:basedOn w:val="Normln"/>
    <w:next w:val="Normln"/>
    <w:link w:val="CittChar"/>
    <w:uiPriority w:val="29"/>
    <w:qFormat w:val="1"/>
    <w:rsid w:val="00F423FA"/>
    <w:pPr>
      <w:spacing w:before="160"/>
      <w:jc w:val="center"/>
    </w:pPr>
    <w:rPr>
      <w:i w:val="1"/>
      <w:iCs w:val="1"/>
      <w:color w:val="404040" w:themeColor="text1" w:themeTint="0000BF"/>
    </w:rPr>
  </w:style>
  <w:style w:type="character" w:styleId="CittChar" w:customStyle="1">
    <w:name w:val="Citát Char"/>
    <w:basedOn w:val="Standardnpsmoodstavce"/>
    <w:link w:val="Citt"/>
    <w:uiPriority w:val="29"/>
    <w:rsid w:val="00F423FA"/>
    <w:rPr>
      <w:i w:val="1"/>
      <w:iCs w:val="1"/>
      <w:color w:val="404040" w:themeColor="text1" w:themeTint="0000BF"/>
    </w:rPr>
  </w:style>
  <w:style w:type="paragraph" w:styleId="Odstavecseseznamem">
    <w:name w:val="List Paragraph"/>
    <w:basedOn w:val="Normln"/>
    <w:uiPriority w:val="34"/>
    <w:qFormat w:val="1"/>
    <w:rsid w:val="00F423FA"/>
    <w:pPr>
      <w:ind w:left="720"/>
      <w:contextualSpacing w:val="1"/>
    </w:pPr>
  </w:style>
  <w:style w:type="character" w:styleId="Zdraznnintenzivn">
    <w:name w:val="Intense Emphasis"/>
    <w:basedOn w:val="Standardnpsmoodstavce"/>
    <w:uiPriority w:val="21"/>
    <w:qFormat w:val="1"/>
    <w:rsid w:val="00F423FA"/>
    <w:rPr>
      <w:i w:val="1"/>
      <w:iCs w:val="1"/>
      <w:color w:val="0f4761" w:themeColor="accent1" w:themeShade="0000BF"/>
    </w:rPr>
  </w:style>
  <w:style w:type="paragraph" w:styleId="Vrazncitt">
    <w:name w:val="Intense Quote"/>
    <w:basedOn w:val="Normln"/>
    <w:next w:val="Normln"/>
    <w:link w:val="VrazncittChar"/>
    <w:uiPriority w:val="30"/>
    <w:qFormat w:val="1"/>
    <w:rsid w:val="00F423F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VrazncittChar" w:customStyle="1">
    <w:name w:val="Výrazný citát Char"/>
    <w:basedOn w:val="Standardnpsmoodstavce"/>
    <w:link w:val="Vrazncitt"/>
    <w:uiPriority w:val="30"/>
    <w:rsid w:val="00F423FA"/>
    <w:rPr>
      <w:i w:val="1"/>
      <w:iCs w:val="1"/>
      <w:color w:val="0f4761" w:themeColor="accent1" w:themeShade="0000BF"/>
    </w:rPr>
  </w:style>
  <w:style w:type="character" w:styleId="Odkazintenzivn">
    <w:name w:val="Intense Reference"/>
    <w:basedOn w:val="Standardnpsmoodstavce"/>
    <w:uiPriority w:val="32"/>
    <w:qFormat w:val="1"/>
    <w:rsid w:val="00F423FA"/>
    <w:rPr>
      <w:b w:val="1"/>
      <w:bCs w:val="1"/>
      <w:smallCaps w:val="1"/>
      <w:color w:val="0f4761" w:themeColor="accent1" w:themeShade="0000BF"/>
      <w:spacing w:val="5"/>
    </w:rPr>
  </w:style>
  <w:style w:type="paragraph" w:styleId="Zhlav">
    <w:name w:val="header"/>
    <w:basedOn w:val="Normln"/>
    <w:link w:val="ZhlavChar"/>
    <w:uiPriority w:val="99"/>
    <w:unhideWhenUsed w:val="1"/>
    <w:rsid w:val="00F423FA"/>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423FA"/>
  </w:style>
  <w:style w:type="paragraph" w:styleId="Zpat">
    <w:name w:val="footer"/>
    <w:basedOn w:val="Normln"/>
    <w:link w:val="ZpatChar"/>
    <w:uiPriority w:val="99"/>
    <w:unhideWhenUsed w:val="1"/>
    <w:rsid w:val="00F423FA"/>
    <w:pPr>
      <w:tabs>
        <w:tab w:val="center" w:pos="4536"/>
        <w:tab w:val="right" w:pos="9072"/>
      </w:tabs>
      <w:spacing w:after="0" w:line="240" w:lineRule="auto"/>
    </w:pPr>
  </w:style>
  <w:style w:type="character" w:styleId="ZpatChar" w:customStyle="1">
    <w:name w:val="Zápatí Char"/>
    <w:basedOn w:val="Standardnpsmoodstavce"/>
    <w:link w:val="Zpat"/>
    <w:uiPriority w:val="99"/>
    <w:rsid w:val="00F423FA"/>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kontakt@internethned.cz" TargetMode="External"/><Relationship Id="rId3" Type="http://schemas.openxmlformats.org/officeDocument/2006/relationships/hyperlink" Target="http://www.internethne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eCuZwgmA5lUmzZllTs11HUYl4g==">CgMxLjAyCGguZ2pkZ3hzMgloLjMwajB6bGwyCWguMWZvYjl0ZTIJaC4zem55c2g3MgloLjJldDkycDA4AHIhMXI4VVJTR0JfTkM3czlZeEhUdmtyV3hQVXJxZEozY0xW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2024-04-11T07:57:00Z</dcterms:created>
  <dc:creator>Alena Větrovcová</dc:creator>
</cp:coreProperties>
</file>