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after="0" w:before="6"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2">
      <w:pPr>
        <w:tabs>
          <w:tab w:val="left" w:leader="none" w:pos="284"/>
        </w:tabs>
        <w:spacing w:after="0" w:line="240" w:lineRule="auto"/>
        <w:ind w:right="613"/>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3">
      <w:pPr>
        <w:tabs>
          <w:tab w:val="left" w:leader="none" w:pos="284"/>
        </w:tabs>
        <w:spacing w:after="0" w:line="240" w:lineRule="auto"/>
        <w:ind w:left="567" w:right="613"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Příloha č. 5</w:t>
        <w:br w:type="textWrapping"/>
        <w:t xml:space="preserve">Ceny a způsob jejich určení</w:t>
      </w:r>
    </w:p>
    <w:p w:rsidR="00000000" w:rsidDel="00000000" w:rsidP="00000000" w:rsidRDefault="00000000" w:rsidRPr="00000000" w14:paraId="00000004">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br w:type="textWrapping"/>
        <w:br w:type="textWrapping"/>
      </w:r>
      <w:r w:rsidDel="00000000" w:rsidR="00000000" w:rsidRPr="00000000">
        <w:rPr>
          <w:rFonts w:ascii="Times New Roman" w:cs="Times New Roman" w:eastAsia="Times New Roman" w:hAnsi="Times New Roman"/>
          <w:b w:val="1"/>
          <w:rtl w:val="0"/>
        </w:rPr>
        <w:t xml:space="preserve">Článek I</w:t>
        <w:br w:type="textWrapping"/>
        <w:t xml:space="preserve">Stanovení principu maximálních velkoobchodních cen</w:t>
      </w:r>
    </w:p>
    <w:p w:rsidR="00000000" w:rsidDel="00000000" w:rsidP="00000000" w:rsidRDefault="00000000" w:rsidRPr="00000000" w14:paraId="00000005">
      <w:pPr>
        <w:tabs>
          <w:tab w:val="left" w:leader="none" w:pos="284"/>
        </w:tabs>
        <w:spacing w:after="0" w:line="240" w:lineRule="auto"/>
        <w:ind w:left="567" w:right="613"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Velkoobchodní ceny poskytovaných služeb Partnerovi v rámci velkoobchodní nabídky RADYNET stanoví podle podmínek dotačního titulu k dotované síti dle jednotlivých typů nabízeného přístupu.</w:t>
        <w:br w:type="textWrapping"/>
        <w:t xml:space="preserve">Velkoobchodní ceny jsou stanoveny jako ceny maximální, v případě sjednání cen nižších, bude RADYNET v souladu přistupovat ke všem oprávněným zájemcům nediskriminačně.</w:t>
      </w:r>
      <w:r w:rsidDel="00000000" w:rsidR="00000000" w:rsidRPr="00000000">
        <w:rPr>
          <w:rtl w:val="0"/>
        </w:rPr>
      </w:r>
    </w:p>
    <w:p w:rsidR="00000000" w:rsidDel="00000000" w:rsidP="00000000" w:rsidRDefault="00000000" w:rsidRPr="00000000" w14:paraId="00000006">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br w:type="textWrapping"/>
        <w:t xml:space="preserve">Článek II</w:t>
        <w:br w:type="textWrapping"/>
        <w:t xml:space="preserve">Velkoobchodní ceny za služby přístupu k pasivní infrastruktuře a za služby zpřístupnění optického a kovového vedení</w:t>
      </w:r>
    </w:p>
    <w:p w:rsidR="00000000" w:rsidDel="00000000" w:rsidP="00000000" w:rsidRDefault="00000000" w:rsidRPr="00000000" w14:paraId="00000007">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Velkoobchodní ceny za služby přístupu k pasivní infrastruktuře a za služby zpřístupnění optického a kovového vedení poskytované v rámci povinné velkoobchodní nabídky jsou nákladově orientované.</w:t>
        <w:br w:type="textWrapping"/>
        <w:br w:type="textWrapping"/>
        <w:t xml:space="preserve">Kalkulaci nákladově orientovaných cen zahrnují jen efektivně a účelně vynaložené náklady spojené s pořízením a provozováním prvků infrastruktury a přiměřený zisk, který se odvíjí od aktuálně platně ČTÚ stanovené hodnoty WACC. Kalkulace ceny není zatěžována nákladovými položkami, které nejsou objektivně nezbytné k poskytování výše uvedených služeb.</w:t>
        <w:br w:type="textWrapping"/>
        <w:br w:type="textWrapping"/>
        <w:t xml:space="preserve">Velkoobchodní ceny za služby přístupu k pasivní infrastruktuře nezahrnují  přijatou dotační podporu, ale pouze vlastní (tj. nedotované) náklady vynaložené příjemcem dotační podpory.</w:t>
      </w:r>
    </w:p>
    <w:p w:rsidR="00000000" w:rsidDel="00000000" w:rsidP="00000000" w:rsidRDefault="00000000" w:rsidRPr="00000000" w14:paraId="00000008">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Velkoobchodní měsíční cena zahrnuje odpisy používaného dlouhodobého majetku a běžné náklady na udržování sítě a zajištění jejího provozu. Roční odpisy jsou stanoveny procentem podle minimální doby životnosti daného aktiva. Odpisy jsou oproštěny o část vytvořenou dotační podporou.</w:t>
      </w:r>
    </w:p>
    <w:p w:rsidR="00000000" w:rsidDel="00000000" w:rsidP="00000000" w:rsidRDefault="00000000" w:rsidRPr="00000000" w14:paraId="00000009">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Základní cena pro neomezený počet připojených KZP je 1000.- Kč bez DPH  měsíčně.</w:t>
        <w:br w:type="textWrapping"/>
        <w:br w:type="textWrapping"/>
        <w:t xml:space="preserve">Volitelná služba,  monitorování neomezeného počtu KZP v CRM a dohledovém centru RADYNET,  rozšířená podpora procesů a odstraňování poruch v rozsahu 30 min. na jednoho KZP bez výjezdu technika,  je 5000.- Kč bez DPH měsíčně.  </w:t>
      </w:r>
    </w:p>
    <w:p w:rsidR="00000000" w:rsidDel="00000000" w:rsidP="00000000" w:rsidRDefault="00000000" w:rsidRPr="00000000" w14:paraId="0000000A">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tl w:val="0"/>
        </w:rPr>
      </w:r>
    </w:p>
    <w:sdt>
      <w:sdtPr>
        <w:lock w:val="contentLocked"/>
        <w:tag w:val="goog_rdk_0"/>
      </w:sdtPr>
      <w:sdtContent>
        <w:tbl>
          <w:tblPr>
            <w:tblStyle w:val="Table1"/>
            <w:tblW w:w="8505.0" w:type="dxa"/>
            <w:jc w:val="left"/>
            <w:tblInd w:w="567.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52.5"/>
            <w:gridCol w:w="4252.5"/>
            <w:tblGridChange w:id="0">
              <w:tblGrid>
                <w:gridCol w:w="4252.5"/>
                <w:gridCol w:w="4252.5"/>
              </w:tblGrid>
            </w:tblGridChange>
          </w:tblGrid>
          <w:tr>
            <w:trPr>
              <w:cantSplit w:val="0"/>
              <w:tblHeader w:val="0"/>
            </w:trPr>
            <w:tc>
              <w:tcPr>
                <w:shd w:fill="ff9900" w:val="clear"/>
                <w:tcMar>
                  <w:top w:w="100.0" w:type="dxa"/>
                  <w:left w:w="100.0" w:type="dxa"/>
                  <w:bottom w:w="100.0" w:type="dxa"/>
                  <w:right w:w="100.0" w:type="dxa"/>
                </w:tcMar>
                <w:vAlign w:val="top"/>
              </w:tcPr>
              <w:p w:rsidR="00000000" w:rsidDel="00000000" w:rsidP="00000000" w:rsidRDefault="00000000" w:rsidRPr="00000000" w14:paraId="0000000C">
                <w:pPr>
                  <w:tabs>
                    <w:tab w:val="left" w:leader="none" w:pos="284"/>
                  </w:tabs>
                  <w:spacing w:after="0" w:line="240" w:lineRule="auto"/>
                  <w:ind w:left="567" w:right="613"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Aktivum </w:t>
                </w:r>
              </w:p>
            </w:tc>
            <w:tc>
              <w:tcPr>
                <w:shd w:fill="ff9900" w:val="clear"/>
                <w:tcMar>
                  <w:top w:w="100.0" w:type="dxa"/>
                  <w:left w:w="100.0" w:type="dxa"/>
                  <w:bottom w:w="100.0" w:type="dxa"/>
                  <w:right w:w="100.0" w:type="dxa"/>
                </w:tcMar>
                <w:vAlign w:val="top"/>
              </w:tcPr>
              <w:p w:rsidR="00000000" w:rsidDel="00000000" w:rsidP="00000000" w:rsidRDefault="00000000" w:rsidRPr="00000000" w14:paraId="0000000D">
                <w:pPr>
                  <w:tabs>
                    <w:tab w:val="left" w:leader="none" w:pos="284"/>
                  </w:tabs>
                  <w:spacing w:after="0" w:line="240" w:lineRule="auto"/>
                  <w:ind w:left="567" w:right="613"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Životnost (roky)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Kabelovody, výkopy, chráničky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Kabely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Rozvaděče a distribuční skříně</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Stožáry a věže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w:t>
                </w:r>
              </w:p>
            </w:tc>
          </w:tr>
        </w:tbl>
      </w:sdtContent>
    </w:sdt>
    <w:p w:rsidR="00000000" w:rsidDel="00000000" w:rsidP="00000000" w:rsidRDefault="00000000" w:rsidRPr="00000000" w14:paraId="00000016">
      <w:pPr>
        <w:tabs>
          <w:tab w:val="left" w:leader="none" w:pos="284"/>
        </w:tabs>
        <w:spacing w:after="0" w:line="240" w:lineRule="auto"/>
        <w:ind w:right="613"/>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Kabelovody, výkopy, chráničky</w:t>
      </w:r>
      <w:r w:rsidDel="00000000" w:rsidR="00000000" w:rsidRPr="00000000">
        <w:rPr>
          <w:rFonts w:ascii="Times New Roman" w:cs="Times New Roman" w:eastAsia="Times New Roman" w:hAnsi="Times New Roman"/>
          <w:rtl w:val="0"/>
        </w:rPr>
        <w:br w:type="textWrapping"/>
        <w:t xml:space="preserve">Projekt  Dotované sítě  předpokládá přístup k pasivní infrastruktuře  na úrovni nenasvíceného vlákna, pro  který je dimenzován. Chráničky, které jsou redundantní některých úsecích Dotované sítě jsou primárně určeny jako záložní, pro případ poruchy například páteřní tras nebo další rozvoj sítě. </w:t>
      </w:r>
      <w:r w:rsidDel="00000000" w:rsidR="00000000" w:rsidRPr="00000000">
        <w:rPr>
          <w:rFonts w:ascii="Times New Roman" w:cs="Times New Roman" w:eastAsia="Times New Roman" w:hAnsi="Times New Roman"/>
          <w:b w:val="1"/>
          <w:rtl w:val="0"/>
        </w:rPr>
        <w:t xml:space="preserve">Přístup ke Kabelovodům, výkopům a chráničkám RADYNET standardně neposkytuje, pouze na základě individuálního projektu a nacenění. </w:t>
        <w:br w:type="textWrapping"/>
        <w:br w:type="textWrapping"/>
        <w:t xml:space="preserve">Nenasvícená vlákna (Kabely)</w:t>
      </w:r>
    </w:p>
    <w:p w:rsidR="00000000" w:rsidDel="00000000" w:rsidP="00000000" w:rsidRDefault="00000000" w:rsidRPr="00000000" w14:paraId="00000017">
      <w:pPr>
        <w:tabs>
          <w:tab w:val="left" w:leader="none" w:pos="284"/>
        </w:tabs>
        <w:spacing w:after="0" w:line="240" w:lineRule="auto"/>
        <w:ind w:right="613"/>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Cena pronájmu 1 m vlákna pro páteřní linky 2,70.- Kč/ bez DPH měsíčně </w:t>
        <w:br w:type="textWrapping"/>
        <w:br w:type="textWrapping"/>
        <w:t xml:space="preserve">Předběžná stanovená cena pronájmu poslední míle nenasvíceného vlákna k koncovému Uživateli (zákazníkovi) Partnera) je 270.- Kč bez DPH /měsíčně. </w:t>
        <w:br w:type="textWrapping"/>
        <w:t xml:space="preserve">(Tato je vypočtena jako průměrná vzdálenost vlákna  k zákazníkovi v m * měsíční cena pronájmu za 1m.)</w:t>
        <w:br w:type="textWrapping"/>
        <w:br w:type="textWrapping"/>
        <w:br w:type="textWrapping"/>
      </w:r>
      <w:r w:rsidDel="00000000" w:rsidR="00000000" w:rsidRPr="00000000">
        <w:rPr>
          <w:rFonts w:ascii="Times New Roman" w:cs="Times New Roman" w:eastAsia="Times New Roman" w:hAnsi="Times New Roman"/>
          <w:b w:val="1"/>
          <w:rtl w:val="0"/>
        </w:rPr>
        <w:t xml:space="preserve">Rozvaděče a distribuční skříně</w:t>
      </w:r>
    </w:p>
    <w:p w:rsidR="00000000" w:rsidDel="00000000" w:rsidP="00000000" w:rsidRDefault="00000000" w:rsidRPr="00000000" w14:paraId="00000018">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Partnerovi bude účtována poměrná část, která se rovná měsíční ceně pronájmu*Počet připojení Partnera/Počet připojení RADYNET, za předpokladu, že obsazení  plocha zařízení Partnera a RADYNET bude cca. 1:1 . </w:t>
        <w:br w:type="textWrapping"/>
        <w:br w:type="textWrapping"/>
        <w:t xml:space="preserve">Příklad : Průměrná měsíční cena pronájmu celého rozvaděče je 1050,-Kč bez DPH měsíčně, počet připojených zákazníků RADYNET = 100, Počet připojených zákazníků Partnera = 10. Cena pronájmu umístění jednoho Uživatele(Zákazníka) Partnera je 10,50,- Kč. Celkem za 10 zákazníků = 105,-Kč.</w:t>
        <w:br w:type="textWrapping"/>
      </w:r>
    </w:p>
    <w:p w:rsidR="00000000" w:rsidDel="00000000" w:rsidP="00000000" w:rsidRDefault="00000000" w:rsidRPr="00000000" w14:paraId="00000019">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Článek III</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rtl w:val="0"/>
        </w:rPr>
        <w:t xml:space="preserve">Určení maximální velkoobchodní ceny VULA</w:t>
      </w:r>
      <w:r w:rsidDel="00000000" w:rsidR="00000000" w:rsidRPr="00000000">
        <w:rPr>
          <w:rtl w:val="0"/>
        </w:rPr>
      </w:r>
    </w:p>
    <w:p w:rsidR="00000000" w:rsidDel="00000000" w:rsidP="00000000" w:rsidRDefault="00000000" w:rsidRPr="00000000" w14:paraId="0000001A">
      <w:pPr>
        <w:widowControl w:val="0"/>
        <w:spacing w:after="0" w:before="6"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widowControl w:val="0"/>
        <w:spacing w:after="0" w:line="288" w:lineRule="auto"/>
        <w:ind w:left="135" w:right="133"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 může stanovit velkoobchodní cenu za službu aktivního přístupu VULA maximálně ve výši odpovídající ceně stanovené metodou „retail minus“, přičemž velikost marže stanoví správce dotačního program v součinnosti s ČTÚ. Metoda „retail minus“ se aplikuje na základní (nejlevnější) maloobchodní produkt přístupu k síti Internet.</w:t>
      </w:r>
    </w:p>
    <w:p w:rsidR="00000000" w:rsidDel="00000000" w:rsidP="00000000" w:rsidRDefault="00000000" w:rsidRPr="00000000" w14:paraId="0000001C">
      <w:pPr>
        <w:widowControl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widowControl w:val="0"/>
        <w:spacing w:after="6" w:before="1" w:line="240" w:lineRule="auto"/>
        <w:ind w:left="13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Cena velkoobchodní služby VULA se stanoví podle vzorce:</w:t>
        <w:br w:type="textWrapping"/>
      </w:r>
    </w:p>
    <w:p w:rsidR="00000000" w:rsidDel="00000000" w:rsidP="00000000" w:rsidRDefault="00000000" w:rsidRPr="00000000" w14:paraId="0000001E">
      <w:pPr>
        <w:widowControl w:val="0"/>
        <w:spacing w:after="6" w:before="1" w:line="240" w:lineRule="auto"/>
        <w:ind w:left="135"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widowControl w:val="0"/>
        <w:spacing w:after="6" w:before="1" w:line="240" w:lineRule="auto"/>
        <w:ind w:left="13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478726" cy="1381125"/>
            <wp:effectExtent b="0" l="0" r="0" t="0"/>
            <wp:docPr id="769949087"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478726" cy="1381125"/>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widowControl w:val="0"/>
        <w:spacing w:after="6" w:before="1" w:line="240" w:lineRule="auto"/>
        <w:ind w:left="135"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widowControl w:val="0"/>
        <w:spacing w:after="6" w:before="1" w:line="240" w:lineRule="auto"/>
        <w:ind w:left="135"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widowControl w:val="0"/>
        <w:spacing w:after="6" w:before="1" w:line="240" w:lineRule="auto"/>
        <w:ind w:left="135" w:firstLine="0"/>
        <w:rPr>
          <w:rFonts w:ascii="Times New Roman" w:cs="Times New Roman" w:eastAsia="Times New Roman" w:hAnsi="Times New Roman"/>
        </w:rPr>
      </w:pPr>
      <w:r w:rsidDel="00000000" w:rsidR="00000000" w:rsidRPr="00000000">
        <w:rPr>
          <w:rtl w:val="0"/>
        </w:rPr>
      </w:r>
    </w:p>
    <w:tbl>
      <w:tblPr>
        <w:tblStyle w:val="Table2"/>
        <w:tblW w:w="8828.0" w:type="dxa"/>
        <w:jc w:val="left"/>
        <w:tblBorders>
          <w:top w:color="000000" w:space="0" w:sz="6" w:val="single"/>
          <w:left w:color="000000" w:space="0" w:sz="6" w:val="single"/>
          <w:bottom w:color="000000" w:space="0" w:sz="6" w:val="single"/>
          <w:right w:color="000000" w:space="0" w:sz="6" w:val="single"/>
        </w:tblBorders>
        <w:tblLayout w:type="fixed"/>
        <w:tblLook w:val="0400"/>
      </w:tblPr>
      <w:tblGrid>
        <w:gridCol w:w="2535"/>
        <w:gridCol w:w="3033"/>
        <w:gridCol w:w="3260"/>
        <w:tblGridChange w:id="0">
          <w:tblGrid>
            <w:gridCol w:w="2535"/>
            <w:gridCol w:w="3033"/>
            <w:gridCol w:w="3260"/>
          </w:tblGrid>
        </w:tblGridChange>
      </w:tblGrid>
      <w:tr>
        <w:trPr>
          <w:cantSplit w:val="0"/>
          <w:trHeight w:val="450" w:hRule="atLeast"/>
          <w:tblHeader w:val="0"/>
        </w:trPr>
        <w:tc>
          <w:tcPr>
            <w:tcBorders>
              <w:top w:color="000000" w:space="0" w:sz="6" w:val="single"/>
              <w:left w:color="000000" w:space="0" w:sz="6" w:val="single"/>
              <w:bottom w:color="000000" w:space="0" w:sz="6" w:val="single"/>
              <w:right w:color="000000" w:space="0" w:sz="6" w:val="single"/>
            </w:tcBorders>
            <w:shd w:fill="ff9900" w:val="clear"/>
            <w:vAlign w:val="center"/>
          </w:tcPr>
          <w:p w:rsidR="00000000" w:rsidDel="00000000" w:rsidP="00000000" w:rsidRDefault="00000000" w:rsidRPr="00000000" w14:paraId="0000002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Tarif</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9900" w:val="clear"/>
            <w:vAlign w:val="center"/>
          </w:tcPr>
          <w:p w:rsidR="00000000" w:rsidDel="00000000" w:rsidP="00000000" w:rsidRDefault="00000000" w:rsidRPr="00000000" w14:paraId="00000024">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Měsíčně</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9900" w:val="clear"/>
            <w:vAlign w:val="center"/>
          </w:tcPr>
          <w:p w:rsidR="00000000" w:rsidDel="00000000" w:rsidP="00000000" w:rsidRDefault="00000000" w:rsidRPr="00000000" w14:paraId="0000002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Maximální rychlost</w:t>
            </w:r>
            <w:r w:rsidDel="00000000" w:rsidR="00000000" w:rsidRPr="00000000">
              <w:rPr>
                <w:rtl w:val="0"/>
              </w:rPr>
            </w:r>
          </w:p>
        </w:tc>
      </w:tr>
      <w:tr>
        <w:trPr>
          <w:cantSplit w:val="0"/>
          <w:trHeight w:val="450" w:hRule="atLeast"/>
          <w:tblHeader w:val="0"/>
        </w:trPr>
        <w:tc>
          <w:tcPr>
            <w:tcBorders>
              <w:top w:color="000000" w:space="0" w:sz="6" w:val="single"/>
              <w:left w:color="000000" w:space="0" w:sz="6" w:val="single"/>
              <w:bottom w:color="000000" w:space="0" w:sz="6" w:val="single"/>
              <w:right w:color="000000" w:space="0" w:sz="6" w:val="single"/>
            </w:tcBorders>
            <w:shd w:fill="ff9900" w:val="clear"/>
            <w:vAlign w:val="center"/>
          </w:tcPr>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Srnka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rtl w:val="0"/>
              </w:rPr>
              <w:t xml:space="preserve">99,- Kč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8">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5</w:t>
            </w:r>
            <w:r w:rsidDel="00000000" w:rsidR="00000000" w:rsidRPr="00000000">
              <w:rPr>
                <w:rFonts w:ascii="Times New Roman" w:cs="Times New Roman" w:eastAsia="Times New Roman" w:hAnsi="Times New Roman"/>
                <w:b w:val="1"/>
                <w:rtl w:val="0"/>
              </w:rPr>
              <w:t xml:space="preserve">00 Mbps</w:t>
            </w:r>
            <w:r w:rsidDel="00000000" w:rsidR="00000000" w:rsidRPr="00000000">
              <w:rPr>
                <w:rtl w:val="0"/>
              </w:rPr>
            </w:r>
          </w:p>
        </w:tc>
      </w:tr>
      <w:tr>
        <w:trPr>
          <w:cantSplit w:val="0"/>
          <w:trHeight w:val="450" w:hRule="atLeast"/>
          <w:tblHeader w:val="0"/>
        </w:trPr>
        <w:tc>
          <w:tcPr>
            <w:tcBorders>
              <w:top w:color="000000" w:space="0" w:sz="6" w:val="single"/>
              <w:left w:color="000000" w:space="0" w:sz="6" w:val="single"/>
              <w:bottom w:color="000000" w:space="0" w:sz="6" w:val="single"/>
              <w:right w:color="000000" w:space="0" w:sz="6" w:val="single"/>
            </w:tcBorders>
            <w:shd w:fill="ff9900" w:val="clear"/>
            <w:vAlign w:val="center"/>
          </w:tcPr>
          <w:p w:rsidR="00000000" w:rsidDel="00000000" w:rsidP="00000000" w:rsidRDefault="00000000" w:rsidRPr="00000000" w14:paraId="0000002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Rys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A">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699</w:t>
            </w:r>
            <w:r w:rsidDel="00000000" w:rsidR="00000000" w:rsidRPr="00000000">
              <w:rPr>
                <w:rFonts w:ascii="Times New Roman" w:cs="Times New Roman" w:eastAsia="Times New Roman" w:hAnsi="Times New Roman"/>
                <w:rtl w:val="0"/>
              </w:rPr>
              <w:t xml:space="preserve">,- Kč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B">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1000 Mbps</w:t>
            </w:r>
            <w:r w:rsidDel="00000000" w:rsidR="00000000" w:rsidRPr="00000000">
              <w:rPr>
                <w:rtl w:val="0"/>
              </w:rPr>
            </w:r>
          </w:p>
        </w:tc>
      </w:tr>
      <w:tr>
        <w:trPr>
          <w:cantSplit w:val="0"/>
          <w:trHeight w:val="450" w:hRule="atLeast"/>
          <w:tblHeader w:val="0"/>
        </w:trPr>
        <w:tc>
          <w:tcPr>
            <w:tcBorders>
              <w:top w:color="000000" w:space="0" w:sz="6" w:val="single"/>
              <w:left w:color="000000" w:space="0" w:sz="6" w:val="single"/>
              <w:bottom w:color="000000" w:space="0" w:sz="6" w:val="single"/>
              <w:right w:color="000000" w:space="0" w:sz="6" w:val="single"/>
            </w:tcBorders>
            <w:shd w:fill="ff9900" w:val="clear"/>
            <w:vAlign w:val="center"/>
          </w:tcPr>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Medvěd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899</w:t>
            </w:r>
            <w:r w:rsidDel="00000000" w:rsidR="00000000" w:rsidRPr="00000000">
              <w:rPr>
                <w:rFonts w:ascii="Times New Roman" w:cs="Times New Roman" w:eastAsia="Times New Roman" w:hAnsi="Times New Roman"/>
                <w:rtl w:val="0"/>
              </w:rPr>
              <w:t xml:space="preserve">.- Kč</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2000 Mbps</w:t>
            </w:r>
            <w:r w:rsidDel="00000000" w:rsidR="00000000" w:rsidRPr="00000000">
              <w:rPr>
                <w:rtl w:val="0"/>
              </w:rPr>
            </w:r>
          </w:p>
        </w:tc>
      </w:tr>
    </w:tbl>
    <w:p w:rsidR="00000000" w:rsidDel="00000000" w:rsidP="00000000" w:rsidRDefault="00000000" w:rsidRPr="00000000" w14:paraId="0000002F">
      <w:pPr>
        <w:widowControl w:val="0"/>
        <w:spacing w:after="0" w:before="6"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Aktuální ceny  C</w:t>
      </w:r>
      <w:r w:rsidDel="00000000" w:rsidR="00000000" w:rsidRPr="00000000">
        <w:rPr>
          <w:rFonts w:ascii="Times New Roman" w:cs="Times New Roman" w:eastAsia="Times New Roman" w:hAnsi="Times New Roman"/>
          <w:vertAlign w:val="subscript"/>
          <w:rtl w:val="0"/>
        </w:rPr>
        <w:t xml:space="preserve">MO</w:t>
      </w:r>
      <w:r w:rsidDel="00000000" w:rsidR="00000000" w:rsidRPr="00000000">
        <w:rPr>
          <w:rFonts w:ascii="Times New Roman" w:cs="Times New Roman" w:eastAsia="Times New Roman" w:hAnsi="Times New Roman"/>
          <w:rtl w:val="0"/>
        </w:rPr>
        <w:t xml:space="preserve">ve firmě RADYNET k 01.12 2024 viz. https://www.radynet.cz/</w:t>
        <w:br w:type="textWrapping"/>
      </w:r>
    </w:p>
    <w:p w:rsidR="00000000" w:rsidDel="00000000" w:rsidP="00000000" w:rsidRDefault="00000000" w:rsidRPr="00000000" w14:paraId="00000030">
      <w:pPr>
        <w:widowControl w:val="0"/>
        <w:spacing w:after="0" w:before="6"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rtl w:val="0"/>
        </w:rPr>
        <w:t xml:space="preserve">Článek III</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rtl w:val="0"/>
        </w:rPr>
        <w:t xml:space="preserve">Velkoobchodní ceny za služby datového toku (bitstreamu)</w:t>
      </w:r>
      <w:r w:rsidDel="00000000" w:rsidR="00000000" w:rsidRPr="00000000">
        <w:rPr>
          <w:rtl w:val="0"/>
        </w:rPr>
      </w:r>
    </w:p>
    <w:p w:rsidR="00000000" w:rsidDel="00000000" w:rsidP="00000000" w:rsidRDefault="00000000" w:rsidRPr="00000000" w14:paraId="00000032">
      <w:pPr>
        <w:widowControl w:val="0"/>
        <w:spacing w:after="0" w:before="6"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widowControl w:val="0"/>
        <w:spacing w:after="0" w:line="288" w:lineRule="auto"/>
        <w:ind w:left="136" w:right="133"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  stanoví velkoobchodní ceny za služby datového toku (bitstreamu) navýšením ceny za své službu VULA (viz Článek III) o náklady související s poskytnutím přenosové kapacity do povinného předávacího bodu a přiměřený zisk, který se odvíjí od aktuálně platně ČTÚ stanovené hodnoty WACC. V případě poskytování přístupu datovému toku na Central Office (náhrada za VULA v bezdrátových sítích) se velkoobchodní cena stanoví podle podmínek stanovení ceny VULA uvedené v Článku  II. Ceny budou stanovovány individuálně dle konkrétního případu.</w:t>
      </w:r>
    </w:p>
    <w:p w:rsidR="00000000" w:rsidDel="00000000" w:rsidP="00000000" w:rsidRDefault="00000000" w:rsidRPr="00000000" w14:paraId="00000034">
      <w:pPr>
        <w:widowControl w:val="0"/>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Článek IV</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rtl w:val="0"/>
        </w:rPr>
        <w:t xml:space="preserve">Velkoobchodní ceny za služby kolokace</w:t>
      </w:r>
      <w:r w:rsidDel="00000000" w:rsidR="00000000" w:rsidRPr="00000000">
        <w:rPr>
          <w:rtl w:val="0"/>
        </w:rPr>
      </w:r>
    </w:p>
    <w:p w:rsidR="00000000" w:rsidDel="00000000" w:rsidP="00000000" w:rsidRDefault="00000000" w:rsidRPr="00000000" w14:paraId="00000036">
      <w:pPr>
        <w:widowControl w:val="0"/>
        <w:spacing w:after="0" w:before="8"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widowControl w:val="0"/>
        <w:spacing w:after="0" w:before="1" w:line="288" w:lineRule="auto"/>
        <w:ind w:left="135" w:right="13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Velkoobchodní ceny za služby kolokace poskytované v rámci povinné velkoobchodní nabídky v prostorách RADYNET jsou poskytované pouze v případě, že je to technicky možné, tj. existují volné prostory a dostatečná kapacita napájení a konektivity. </w:t>
      </w:r>
      <w:r w:rsidDel="00000000" w:rsidR="00000000" w:rsidRPr="00000000">
        <w:rPr>
          <w:rFonts w:ascii="Times New Roman" w:cs="Times New Roman" w:eastAsia="Times New Roman" w:hAnsi="Times New Roman"/>
          <w:sz w:val="24"/>
          <w:szCs w:val="24"/>
          <w:rtl w:val="0"/>
        </w:rPr>
        <w:t xml:space="preserve">Pokud není k dispozici vhodný prostor, umožní RADYNET umístění zařízení Partnera v dostupné vzdálenosti mimo budovu hlavního rozvodu a poskytne mu dostatečnou součinnost pro realizaci jiného technického řešení služby kolokace. V případě, že služby kolokace budou vyžadovat dodatečné investice do sdílených prostor RADYNET vypracuje k odsouhlasení Partnerovi rozpočet a časový plán realizace těchto investic. </w:t>
        <w:br w:type="textWrapping"/>
      </w:r>
      <w:r w:rsidDel="00000000" w:rsidR="00000000" w:rsidRPr="00000000">
        <w:rPr>
          <w:rFonts w:ascii="Times New Roman" w:cs="Times New Roman" w:eastAsia="Times New Roman" w:hAnsi="Times New Roman"/>
          <w:rtl w:val="0"/>
        </w:rPr>
        <w:t xml:space="preserve">Kalkulované ceny jsou nákladově orientované.  Ceny  zahrnují efektivně a účelně vynaložené náklady spojené s pořízením a provozováním prvků infrastruktury, vč. technologické plochy, a přiměřený zisk, který se odvíjí od  aktuálně platně ČTÚ stanovené hodnoty WACC. Kalkulace ceny není  zatěžována nákladovými položkami, které nejsou objektivně nezbytné k poskytování výše uvedených služeb.</w:t>
      </w:r>
    </w:p>
    <w:p w:rsidR="00000000" w:rsidDel="00000000" w:rsidP="00000000" w:rsidRDefault="00000000" w:rsidRPr="00000000" w14:paraId="00000038">
      <w:pPr>
        <w:widowControl w:val="0"/>
        <w:spacing w:after="0" w:before="1" w:line="288" w:lineRule="auto"/>
        <w:ind w:left="136" w:right="133"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Velkoobchodní ceny za služby kolokace nezahrnují přijatou dotační podporu, ale pouze vlastní (tj. nedotované) náklady vynaložené RADYNET.</w:t>
      </w:r>
    </w:p>
    <w:p w:rsidR="00000000" w:rsidDel="00000000" w:rsidP="00000000" w:rsidRDefault="00000000" w:rsidRPr="00000000" w14:paraId="00000039">
      <w:pPr>
        <w:tabs>
          <w:tab w:val="left" w:leader="none" w:pos="284"/>
        </w:tabs>
        <w:spacing w:after="0" w:line="240" w:lineRule="auto"/>
        <w:ind w:right="613"/>
        <w:rPr>
          <w:rFonts w:ascii="Times New Roman" w:cs="Times New Roman" w:eastAsia="Times New Roman" w:hAnsi="Times New Roman"/>
        </w:rPr>
      </w:pPr>
      <w:r w:rsidDel="00000000" w:rsidR="00000000" w:rsidRPr="00000000">
        <w:rPr>
          <w:rtl w:val="0"/>
        </w:rPr>
      </w:r>
    </w:p>
    <w:tbl>
      <w:tblPr>
        <w:tblStyle w:val="Table3"/>
        <w:tblW w:w="7934.0" w:type="dxa"/>
        <w:jc w:val="left"/>
        <w:tblInd w:w="496.0" w:type="dxa"/>
        <w:tblLayout w:type="fixed"/>
        <w:tblLook w:val="0400"/>
      </w:tblPr>
      <w:tblGrid>
        <w:gridCol w:w="3734"/>
        <w:gridCol w:w="740"/>
        <w:gridCol w:w="3460"/>
        <w:tblGridChange w:id="0">
          <w:tblGrid>
            <w:gridCol w:w="3734"/>
            <w:gridCol w:w="740"/>
            <w:gridCol w:w="3460"/>
          </w:tblGrid>
        </w:tblGridChange>
      </w:tblGrid>
      <w:tr>
        <w:trPr>
          <w:cantSplit w:val="0"/>
          <w:trHeight w:val="270" w:hRule="atLeast"/>
          <w:tblHeader w:val="0"/>
        </w:trPr>
        <w:tc>
          <w:tcPr>
            <w:tcBorders>
              <w:top w:color="000000" w:space="0" w:sz="8" w:val="single"/>
              <w:left w:color="000000" w:space="0" w:sz="8" w:val="single"/>
              <w:bottom w:color="000000" w:space="0" w:sz="4" w:val="single"/>
              <w:right w:color="000000" w:space="0" w:sz="4" w:val="single"/>
            </w:tcBorders>
            <w:shd w:fill="fce4d6" w:val="clear"/>
            <w:vAlign w:val="center"/>
          </w:tcPr>
          <w:p w:rsidR="00000000" w:rsidDel="00000000" w:rsidP="00000000" w:rsidRDefault="00000000" w:rsidRPr="00000000" w14:paraId="0000003A">
            <w:pPr>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Navrhované ceny pro kolokaci (hostig)</w:t>
            </w:r>
          </w:p>
        </w:tc>
        <w:tc>
          <w:tcPr>
            <w:tcBorders>
              <w:top w:color="000000" w:space="0" w:sz="8" w:val="single"/>
              <w:left w:color="000000" w:space="0" w:sz="0" w:val="nil"/>
              <w:bottom w:color="000000" w:space="0" w:sz="4" w:val="single"/>
              <w:right w:color="000000" w:space="0" w:sz="4" w:val="single"/>
            </w:tcBorders>
            <w:shd w:fill="fce4d6" w:val="clear"/>
            <w:vAlign w:val="center"/>
          </w:tcPr>
          <w:p w:rsidR="00000000" w:rsidDel="00000000" w:rsidP="00000000" w:rsidRDefault="00000000" w:rsidRPr="00000000" w14:paraId="0000003B">
            <w:pPr>
              <w:spacing w:after="0" w:line="240" w:lineRule="auto"/>
              <w:jc w:val="righ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8" w:val="single"/>
              <w:left w:color="000000" w:space="0" w:sz="0" w:val="nil"/>
              <w:bottom w:color="000000" w:space="0" w:sz="4" w:val="single"/>
              <w:right w:color="000000" w:space="0" w:sz="8" w:val="single"/>
            </w:tcBorders>
            <w:shd w:fill="fce4d6" w:val="clear"/>
            <w:vAlign w:val="center"/>
          </w:tcPr>
          <w:p w:rsidR="00000000" w:rsidDel="00000000" w:rsidP="00000000" w:rsidRDefault="00000000" w:rsidRPr="00000000" w14:paraId="0000003C">
            <w:pPr>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Ceny v Kč měsíčně bez DPH</w:t>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3D">
            <w:pPr>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Hostování v racku RADYNET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E">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3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4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Výchozí cena max spotřeba do 100 W</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1">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4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43">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4">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Kč</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45">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1200,00</w:t>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46">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7">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Kč</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48">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1 500,00</w:t>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49">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A">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Kč</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4B">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1 800,00</w:t>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4C">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4U</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D">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Kč</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4E">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2 100,00</w:t>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4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Platba za elektřinu dle štítku zařízení</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0">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51">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r>
      <w:tr>
        <w:trPr>
          <w:cantSplit w:val="0"/>
          <w:trHeight w:val="270" w:hRule="atLeast"/>
          <w:tblHeader w:val="0"/>
        </w:trPr>
        <w:tc>
          <w:tcPr>
            <w:vMerge w:val="restart"/>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5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Dedikovaný managment port s veřejnou IP adresou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54">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r>
      <w:tr>
        <w:trPr>
          <w:cantSplit w:val="0"/>
          <w:trHeight w:val="312" w:hRule="atLeast"/>
          <w:tblHeader w:val="0"/>
        </w:trPr>
        <w:tc>
          <w:tcPr>
            <w:vMerge w:val="continue"/>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55">
            <w:pPr>
              <w:widowControl w:val="0"/>
              <w:spacing w:after="0" w:line="276"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6">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Kč</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57">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w:t>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5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Každá další IP adresa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9">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Kč</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5A">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w:t>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5B">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IP KVM Switch pro vzdálenou správu zdarma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C">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Kč</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5D">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0,00</w:t>
            </w:r>
          </w:p>
        </w:tc>
      </w:tr>
      <w:tr>
        <w:trPr>
          <w:cantSplit w:val="0"/>
          <w:trHeight w:val="270" w:hRule="atLeast"/>
          <w:tblHeader w:val="0"/>
        </w:trPr>
        <w:tc>
          <w:tcPr>
            <w:gridSpan w:val="3"/>
            <w:tcBorders>
              <w:top w:color="000000" w:space="0" w:sz="0" w:val="nil"/>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5E">
            <w:pPr>
              <w:spacing w:after="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br w:type="textWrapping"/>
              <w:t xml:space="preserve">Vlastní zařízení, užití pronajaté plochy</w:t>
            </w:r>
          </w:p>
          <w:p w:rsidR="00000000" w:rsidDel="00000000" w:rsidP="00000000" w:rsidRDefault="00000000" w:rsidRPr="00000000" w14:paraId="0000005F">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62">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Základní cena měsíčně</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3">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Kč</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64">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300,00</w:t>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65">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Cena nájmu Partnera podle poměrné plochy *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6">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Kč</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67">
            <w:pPr>
              <w:spacing w:after="0" w:line="240" w:lineRule="auto"/>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Dle výpočtu</w:t>
            </w:r>
          </w:p>
        </w:tc>
      </w:tr>
    </w:tbl>
    <w:p w:rsidR="00000000" w:rsidDel="00000000" w:rsidP="00000000" w:rsidRDefault="00000000" w:rsidRPr="00000000" w14:paraId="00000068">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Cena nájmu Partnera se vypočítá, podle následujícího vzorce. V případě,  že se bude jednat o vlastní prostory RADYNET, bude se počítat cena nájmu podle cen obvyklých v dané lokalitě. </w:t>
        <w:br w:type="textWrapping"/>
        <w:br w:type="textWrapping"/>
        <w:t xml:space="preserve">Pp </w:t>
        <w:tab/>
        <w:tab/>
        <w:t xml:space="preserve">- </w:t>
        <w:tab/>
        <w:t xml:space="preserve">Plocha zařízení zabraná Partnerem</w:t>
        <w:br w:type="textWrapping"/>
        <w:t xml:space="preserve">Pi  </w:t>
        <w:tab/>
        <w:tab/>
        <w:t xml:space="preserve">-</w:t>
        <w:tab/>
        <w:t xml:space="preserve">Plocha zařízení zabraná RADYNET</w:t>
        <w:br w:type="textWrapping"/>
        <w:t xml:space="preserve">CCN</w:t>
        <w:tab/>
        <w:tab/>
        <w:t xml:space="preserve">-</w:t>
        <w:tab/>
        <w:t xml:space="preserve">Celkový nájem za celkovou plochu</w:t>
        <w:br w:type="textWrapping"/>
        <w:t xml:space="preserve">Np</w:t>
        <w:tab/>
        <w:tab/>
        <w:tab/>
        <w:t xml:space="preserve">-</w:t>
        <w:tab/>
        <w:t xml:space="preserve">Nájem účtovaný RADYNET Partnerovi </w:t>
        <w:br w:type="textWrapping"/>
        <w:t xml:space="preserve">WACC</w:t>
        <w:tab/>
        <w:tab/>
        <w:t xml:space="preserve">-</w:t>
        <w:tab/>
        <w:t xml:space="preserve">Přiměřený profit dle ČTÚ</w:t>
      </w:r>
    </w:p>
    <w:p w:rsidR="00000000" w:rsidDel="00000000" w:rsidP="00000000" w:rsidRDefault="00000000" w:rsidRPr="00000000" w14:paraId="00000069">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Np = (CCN/(Pp+Pi) *Pp)* (1+ WACC/100)</w:t>
        <w:br w:type="textWrapping"/>
        <w:br w:type="textWrapping"/>
      </w:r>
    </w:p>
    <w:p w:rsidR="00000000" w:rsidDel="00000000" w:rsidP="00000000" w:rsidRDefault="00000000" w:rsidRPr="00000000" w14:paraId="0000006A">
      <w:pPr>
        <w:tabs>
          <w:tab w:val="left" w:leader="none" w:pos="284"/>
        </w:tabs>
        <w:spacing w:after="0" w:line="240" w:lineRule="auto"/>
        <w:ind w:left="567" w:right="613" w:firstLine="0"/>
        <w:jc w:val="center"/>
        <w:rPr>
          <w:rFonts w:ascii="Times New Roman" w:cs="Times New Roman" w:eastAsia="Times New Roman" w:hAnsi="Times New Roman"/>
          <w:color w:val="006fc1"/>
        </w:rPr>
      </w:pPr>
      <w:r w:rsidDel="00000000" w:rsidR="00000000" w:rsidRPr="00000000">
        <w:rPr>
          <w:rFonts w:ascii="Times New Roman" w:cs="Times New Roman" w:eastAsia="Times New Roman" w:hAnsi="Times New Roman"/>
          <w:b w:val="1"/>
          <w:rtl w:val="0"/>
        </w:rPr>
        <w:t xml:space="preserve">Článek V</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sz w:val="24"/>
          <w:szCs w:val="24"/>
          <w:rtl w:val="0"/>
        </w:rPr>
        <w:t xml:space="preserve">Velkoobchodní  ceny za aktivaci služeb</w:t>
      </w:r>
      <w:r w:rsidDel="00000000" w:rsidR="00000000" w:rsidRPr="00000000">
        <w:rPr>
          <w:rtl w:val="0"/>
        </w:rPr>
      </w:r>
    </w:p>
    <w:p w:rsidR="00000000" w:rsidDel="00000000" w:rsidP="00000000" w:rsidRDefault="00000000" w:rsidRPr="00000000" w14:paraId="0000006B">
      <w:pPr>
        <w:widowControl w:val="0"/>
        <w:spacing w:after="0" w:before="8"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widowControl w:val="0"/>
        <w:spacing w:after="0" w:line="291.99999999999994" w:lineRule="auto"/>
        <w:ind w:left="135" w:right="135"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Velkoobchodní jednorázové ceny za aktivaci služeb a měsíční udržovací poplatek zahrnují náklady, vč. přiměřeného zisku, který se odvíjí od aktuálně platné ČTÚ stanovené hodnoty WACC, na nezbytně nutné procesy pro zřízení služby. Mezi tyto procesy například patří:</w:t>
        <w:br w:type="textWrapping"/>
      </w:r>
    </w:p>
    <w:tbl>
      <w:tblPr>
        <w:tblStyle w:val="Table4"/>
        <w:tblW w:w="8663.0" w:type="dxa"/>
        <w:jc w:val="left"/>
        <w:tblInd w:w="70.0" w:type="dxa"/>
        <w:tblLayout w:type="fixed"/>
        <w:tblLook w:val="0400"/>
      </w:tblPr>
      <w:tblGrid>
        <w:gridCol w:w="4678"/>
        <w:gridCol w:w="525"/>
        <w:gridCol w:w="3460"/>
        <w:tblGridChange w:id="0">
          <w:tblGrid>
            <w:gridCol w:w="4678"/>
            <w:gridCol w:w="525"/>
            <w:gridCol w:w="3460"/>
          </w:tblGrid>
        </w:tblGridChange>
      </w:tblGrid>
      <w:tr>
        <w:trPr>
          <w:cantSplit w:val="0"/>
          <w:trHeight w:val="270" w:hRule="atLeast"/>
          <w:tblHeader w:val="0"/>
        </w:trPr>
        <w:tc>
          <w:tcPr>
            <w:tcBorders>
              <w:top w:color="000000" w:space="0" w:sz="8" w:val="single"/>
              <w:left w:color="000000" w:space="0" w:sz="8" w:val="single"/>
              <w:bottom w:color="000000" w:space="0" w:sz="4" w:val="single"/>
              <w:right w:color="000000" w:space="0" w:sz="4" w:val="single"/>
            </w:tcBorders>
            <w:shd w:fill="ededed" w:val="clear"/>
            <w:vAlign w:val="center"/>
          </w:tcPr>
          <w:p w:rsidR="00000000" w:rsidDel="00000000" w:rsidP="00000000" w:rsidRDefault="00000000" w:rsidRPr="00000000" w14:paraId="0000006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Velkoobchodní jednorázové ceny za aktivaci služeb</w:t>
            </w:r>
            <w:r w:rsidDel="00000000" w:rsidR="00000000" w:rsidRPr="00000000">
              <w:rPr>
                <w:rtl w:val="0"/>
              </w:rPr>
            </w:r>
          </w:p>
        </w:tc>
        <w:tc>
          <w:tcPr>
            <w:tcBorders>
              <w:top w:color="000000" w:space="0" w:sz="8" w:val="single"/>
              <w:left w:color="000000" w:space="0" w:sz="0" w:val="nil"/>
              <w:bottom w:color="000000" w:space="0" w:sz="4" w:val="single"/>
              <w:right w:color="000000" w:space="0" w:sz="4" w:val="single"/>
            </w:tcBorders>
            <w:shd w:fill="ededed" w:val="clear"/>
            <w:vAlign w:val="center"/>
          </w:tcPr>
          <w:p w:rsidR="00000000" w:rsidDel="00000000" w:rsidP="00000000" w:rsidRDefault="00000000" w:rsidRPr="00000000" w14:paraId="0000006E">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hod</w:t>
            </w:r>
            <w:r w:rsidDel="00000000" w:rsidR="00000000" w:rsidRPr="00000000">
              <w:rPr>
                <w:rtl w:val="0"/>
              </w:rPr>
            </w:r>
          </w:p>
          <w:p w:rsidR="00000000" w:rsidDel="00000000" w:rsidP="00000000" w:rsidRDefault="00000000" w:rsidRPr="00000000" w14:paraId="0000006F">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tc>
        <w:tc>
          <w:tcPr>
            <w:tcBorders>
              <w:top w:color="000000" w:space="0" w:sz="8" w:val="single"/>
              <w:left w:color="000000" w:space="0" w:sz="0" w:val="nil"/>
              <w:bottom w:color="000000" w:space="0" w:sz="4" w:val="single"/>
              <w:right w:color="000000" w:space="0" w:sz="8" w:val="single"/>
            </w:tcBorders>
            <w:shd w:fill="ededed" w:val="clear"/>
            <w:vAlign w:val="center"/>
          </w:tcPr>
          <w:p w:rsidR="00000000" w:rsidDel="00000000" w:rsidP="00000000" w:rsidRDefault="00000000" w:rsidRPr="00000000" w14:paraId="0000007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Jednorázová cena v Kč bez DPH</w:t>
            </w:r>
            <w:r w:rsidDel="00000000" w:rsidR="00000000" w:rsidRPr="00000000">
              <w:rPr>
                <w:rtl w:val="0"/>
              </w:rPr>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2">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Přijmutí objednávky, vnitřní komunikace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5">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0,30</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6">
            <w:pPr>
              <w:spacing w:after="0" w:line="240" w:lineRule="auto"/>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180</w:t>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Ověřování a zpracování v databázích, interní zpracování</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1</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9">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600</w:t>
            </w:r>
            <w:r w:rsidDel="00000000" w:rsidR="00000000" w:rsidRPr="00000000">
              <w:rPr>
                <w:rtl w:val="0"/>
              </w:rPr>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Měsíční udržovací poplatek v systému za jednoho KZP</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B">
            <w:pPr>
              <w:spacing w:after="0" w:line="240" w:lineRule="auto"/>
              <w:jc w:val="right"/>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C">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3</w:t>
            </w:r>
            <w:r w:rsidDel="00000000" w:rsidR="00000000" w:rsidRPr="00000000">
              <w:rPr>
                <w:rtl w:val="0"/>
              </w:rPr>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D">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Konzultace a vyhodnocení plánu služeb</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2,00</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F">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1200</w:t>
            </w:r>
            <w:r w:rsidDel="00000000" w:rsidR="00000000" w:rsidRPr="00000000">
              <w:rPr>
                <w:rtl w:val="0"/>
              </w:rPr>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8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Základní technické šetření v rozsahu 2 hodin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1">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2,00</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2">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1200</w:t>
            </w:r>
            <w:r w:rsidDel="00000000" w:rsidR="00000000" w:rsidRPr="00000000">
              <w:rPr>
                <w:rtl w:val="0"/>
              </w:rPr>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83">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Konfigurace síťových prvků Gpon 1 hod.</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4">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1,00</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5">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1200</w:t>
            </w:r>
            <w:r w:rsidDel="00000000" w:rsidR="00000000" w:rsidRPr="00000000">
              <w:rPr>
                <w:rtl w:val="0"/>
              </w:rPr>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8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Cestovné 0-15 km, jeden technik 15 min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7">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8">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400</w:t>
            </w:r>
            <w:r w:rsidDel="00000000" w:rsidR="00000000" w:rsidRPr="00000000">
              <w:rPr>
                <w:rtl w:val="0"/>
              </w:rPr>
            </w:r>
          </w:p>
        </w:tc>
      </w:tr>
      <w:tr>
        <w:trPr>
          <w:cantSplit w:val="0"/>
          <w:trHeight w:val="27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8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Cestovné 15 -30 km, jeden technik 30 min.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A">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8B">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800</w:t>
            </w:r>
            <w:r w:rsidDel="00000000" w:rsidR="00000000" w:rsidRPr="00000000">
              <w:rPr>
                <w:rtl w:val="0"/>
              </w:rPr>
            </w:r>
          </w:p>
        </w:tc>
      </w:tr>
      <w:tr>
        <w:trPr>
          <w:cantSplit w:val="0"/>
          <w:trHeight w:val="270" w:hRule="atLeast"/>
          <w:tblHeader w:val="0"/>
        </w:trPr>
        <w:tc>
          <w:tcPr>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8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Měření koncového bodu, testovací měření</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8D">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1,00</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8E">
            <w:pPr>
              <w:spacing w:after="0" w:line="24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1 000,00</w:t>
            </w:r>
            <w:r w:rsidDel="00000000" w:rsidR="00000000" w:rsidRPr="00000000">
              <w:rPr>
                <w:rtl w:val="0"/>
              </w:rPr>
            </w:r>
          </w:p>
        </w:tc>
      </w:tr>
    </w:tbl>
    <w:p w:rsidR="00000000" w:rsidDel="00000000" w:rsidP="00000000" w:rsidRDefault="00000000" w:rsidRPr="00000000" w14:paraId="0000008F">
      <w:pPr>
        <w:widowControl w:val="0"/>
        <w:spacing w:after="0" w:line="291.99999999999994" w:lineRule="auto"/>
        <w:ind w:left="135" w:right="135"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br w:type="textWrapping"/>
      </w:r>
      <w:r w:rsidDel="00000000" w:rsidR="00000000" w:rsidRPr="00000000">
        <w:rPr>
          <w:rFonts w:ascii="Times New Roman" w:cs="Times New Roman" w:eastAsia="Times New Roman" w:hAnsi="Times New Roman"/>
          <w:rtl w:val="0"/>
        </w:rPr>
        <w:t xml:space="preserve">Ceny dalších prací se budou odvíjet podle platného ceníku firmy  RADYNET s.r.o., včetně minimálních cen prací. </w:t>
        <w:br w:type="textWrapping"/>
      </w:r>
      <w:r w:rsidDel="00000000" w:rsidR="00000000" w:rsidRPr="00000000">
        <w:rPr>
          <w:rtl w:val="0"/>
        </w:rPr>
      </w:r>
    </w:p>
    <w:p w:rsidR="00000000" w:rsidDel="00000000" w:rsidP="00000000" w:rsidRDefault="00000000" w:rsidRPr="00000000" w14:paraId="00000090">
      <w:pPr>
        <w:tabs>
          <w:tab w:val="left" w:leader="none" w:pos="284"/>
        </w:tabs>
        <w:spacing w:after="0" w:line="240" w:lineRule="auto"/>
        <w:ind w:left="567" w:right="613" w:firstLine="0"/>
        <w:jc w:val="center"/>
        <w:rPr>
          <w:rFonts w:ascii="Times New Roman" w:cs="Times New Roman" w:eastAsia="Times New Roman" w:hAnsi="Times New Roman"/>
          <w:color w:val="006fc1"/>
        </w:rPr>
      </w:pPr>
      <w:r w:rsidDel="00000000" w:rsidR="00000000" w:rsidRPr="00000000">
        <w:rPr>
          <w:rFonts w:ascii="Times New Roman" w:cs="Times New Roman" w:eastAsia="Times New Roman" w:hAnsi="Times New Roman"/>
          <w:b w:val="1"/>
          <w:rtl w:val="0"/>
        </w:rPr>
        <w:t xml:space="preserve">Článek VI</w:t>
      </w: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sz w:val="24"/>
          <w:szCs w:val="24"/>
          <w:rtl w:val="0"/>
        </w:rPr>
        <w:t xml:space="preserve">Relace mezi maloobchodními cenami vertikálně integrovaného operátora (příjemce dotační podpory</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91">
      <w:pPr>
        <w:widowControl w:val="0"/>
        <w:spacing w:after="0" w:before="1" w:line="240" w:lineRule="auto"/>
        <w:ind w:left="135"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Struktura maloobchodních služeb je stanovena rozhodnutím příjemce dotační podpory.</w:t>
      </w:r>
    </w:p>
    <w:p w:rsidR="00000000" w:rsidDel="00000000" w:rsidP="00000000" w:rsidRDefault="00000000" w:rsidRPr="00000000" w14:paraId="00000092">
      <w:pPr>
        <w:widowControl w:val="0"/>
        <w:spacing w:after="0" w:before="58" w:line="291.99999999999994" w:lineRule="auto"/>
        <w:ind w:left="135" w:right="135"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Pokud jsou v portfoliu maloobchodních služeb RADYNET i balíčky služeb, stanoví RADYNET maloobchodní ceny balíčků služeb tak, aby doplňkové služby k službě přístupu k síti Internetu nebyly nabízeny za méně, než jsou dodatečné náklady na jejich poskytování. Doplňkovou službou se rozumí jakákoliv služba nabízená v balíčku služeb, kromě služby přístupu k síti Internet.</w:t>
      </w:r>
    </w:p>
    <w:p w:rsidR="00000000" w:rsidDel="00000000" w:rsidP="00000000" w:rsidRDefault="00000000" w:rsidRPr="00000000" w14:paraId="00000093">
      <w:pPr>
        <w:widowControl w:val="0"/>
        <w:spacing w:after="0" w:before="3" w:line="240" w:lineRule="auto"/>
        <w:ind w:left="135"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Výše uvedenou podmínku lze vyjádřit tímto vztahem:</w:t>
      </w:r>
      <w:r w:rsidDel="00000000" w:rsidR="00000000" w:rsidRPr="00000000">
        <w:drawing>
          <wp:anchor allowOverlap="1" behindDoc="0" distB="0" distT="0" distL="0" distR="0" hidden="0" layoutInCell="1" locked="0" relativeHeight="0" simplePos="0">
            <wp:simplePos x="0" y="0"/>
            <wp:positionH relativeFrom="column">
              <wp:posOffset>887</wp:posOffset>
            </wp:positionH>
            <wp:positionV relativeFrom="paragraph">
              <wp:posOffset>211120</wp:posOffset>
            </wp:positionV>
            <wp:extent cx="4427660" cy="1533525"/>
            <wp:effectExtent b="0" l="0" r="0" t="0"/>
            <wp:wrapTopAndBottom distB="0" distT="0"/>
            <wp:docPr id="769949086"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4427660" cy="1533525"/>
                    </a:xfrm>
                    <a:prstGeom prst="rect"/>
                    <a:ln/>
                  </pic:spPr>
                </pic:pic>
              </a:graphicData>
            </a:graphic>
          </wp:anchor>
        </w:drawing>
      </w:r>
    </w:p>
    <w:p w:rsidR="00000000" w:rsidDel="00000000" w:rsidP="00000000" w:rsidRDefault="00000000" w:rsidRPr="00000000" w14:paraId="00000094">
      <w:pPr>
        <w:widowControl w:val="0"/>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r>
    </w:p>
    <w:tbl>
      <w:tblPr>
        <w:tblStyle w:val="Table5"/>
        <w:tblW w:w="9212.0" w:type="dxa"/>
        <w:jc w:val="left"/>
        <w:tblLayout w:type="fixed"/>
        <w:tblLook w:val="0000"/>
      </w:tblPr>
      <w:tblGrid>
        <w:gridCol w:w="4607"/>
        <w:gridCol w:w="4605"/>
        <w:tblGridChange w:id="0">
          <w:tblGrid>
            <w:gridCol w:w="4607"/>
            <w:gridCol w:w="4605"/>
          </w:tblGrid>
        </w:tblGridChange>
      </w:tblGrid>
      <w:tr>
        <w:trPr>
          <w:cantSplit w:val="1"/>
          <w:tblHeader w:val="0"/>
        </w:trPr>
        <w:tc>
          <w:tcPr/>
          <w:p w:rsidR="00000000" w:rsidDel="00000000" w:rsidP="00000000" w:rsidRDefault="00000000" w:rsidRPr="00000000" w14:paraId="00000095">
            <w:pPr>
              <w:spacing w:after="0" w:before="8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 společnost </w:t>
              <w:br w:type="textWrapping"/>
              <w:t xml:space="preserve">Radynet s.r.o.</w:t>
            </w:r>
          </w:p>
        </w:tc>
        <w:tc>
          <w:tcPr/>
          <w:p w:rsidR="00000000" w:rsidDel="00000000" w:rsidP="00000000" w:rsidRDefault="00000000" w:rsidRPr="00000000" w14:paraId="00000096">
            <w:pPr>
              <w:spacing w:after="0" w:before="8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 společnost </w:t>
              <w:br w:type="textWrapping"/>
              <w:t xml:space="preserve">Partner</w:t>
              <w:br w:type="textWrapping"/>
              <w:br w:type="textWrapping"/>
            </w:r>
          </w:p>
        </w:tc>
      </w:tr>
    </w:tbl>
    <w:p w:rsidR="00000000" w:rsidDel="00000000" w:rsidP="00000000" w:rsidRDefault="00000000" w:rsidRPr="00000000" w14:paraId="00000097">
      <w:pPr>
        <w:widowControl w:val="0"/>
        <w:spacing w:after="0" w:before="1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sectPr>
      <w:headerReference r:id="rId9"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ptos"/>
  <w:font w:name="Play">
    <w:embedRegular w:fontKey="{00000000-0000-0000-0000-000000000000}" r:id="rId1" w:subsetted="0"/>
    <w:embedBold w:fontKey="{00000000-0000-0000-0000-000000000000}" r:id="rId2" w:subsetted="0"/>
  </w:font>
  <w:font w:name="Neo Sans Std"/>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6"/>
      <w:tblW w:w="10072.0" w:type="dxa"/>
      <w:jc w:val="left"/>
      <w:tblInd w:w="-432.0" w:type="dxa"/>
      <w:tblLayout w:type="fixed"/>
      <w:tblLook w:val="0000"/>
    </w:tblPr>
    <w:tblGrid>
      <w:gridCol w:w="4118"/>
      <w:gridCol w:w="5954"/>
      <w:tblGridChange w:id="0">
        <w:tblGrid>
          <w:gridCol w:w="4118"/>
          <w:gridCol w:w="5954"/>
        </w:tblGrid>
      </w:tblGridChange>
    </w:tblGrid>
    <w:tr>
      <w:trPr>
        <w:cantSplit w:val="0"/>
        <w:trHeight w:val="1013" w:hRule="atLeast"/>
        <w:tblHeader w:val="0"/>
      </w:trPr>
      <w:tc>
        <w:tcPr/>
        <w:p w:rsidR="00000000" w:rsidDel="00000000" w:rsidP="00000000" w:rsidRDefault="00000000" w:rsidRPr="00000000" w14:paraId="0000009A">
          <w:pPr>
            <w:tabs>
              <w:tab w:val="center" w:leader="none" w:pos="4536"/>
              <w:tab w:val="right" w:leader="none" w:pos="9072"/>
            </w:tabs>
            <w:spacing w:after="0" w:line="240" w:lineRule="auto"/>
            <w:ind w:right="360" w:firstLine="148"/>
            <w:rPr>
              <w:rFonts w:ascii="Neo Sans Std" w:cs="Neo Sans Std" w:eastAsia="Neo Sans Std" w:hAnsi="Neo Sans Std"/>
              <w:sz w:val="14"/>
              <w:szCs w:val="1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-8254</wp:posOffset>
                </wp:positionH>
                <wp:positionV relativeFrom="paragraph">
                  <wp:posOffset>26670</wp:posOffset>
                </wp:positionV>
                <wp:extent cx="2228850" cy="600075"/>
                <wp:effectExtent b="0" l="0" r="0" t="0"/>
                <wp:wrapNone/>
                <wp:docPr id="76994908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28850" cy="600075"/>
                        </a:xfrm>
                        <a:prstGeom prst="rect"/>
                        <a:ln/>
                      </pic:spPr>
                    </pic:pic>
                  </a:graphicData>
                </a:graphic>
              </wp:anchor>
            </w:drawing>
          </w:r>
        </w:p>
      </w:tc>
      <w:tc>
        <w:tcPr/>
        <w:p w:rsidR="00000000" w:rsidDel="00000000" w:rsidP="00000000" w:rsidRDefault="00000000" w:rsidRPr="00000000" w14:paraId="0000009B">
          <w:pPr>
            <w:tabs>
              <w:tab w:val="center" w:leader="none" w:pos="4536"/>
              <w:tab w:val="right" w:leader="none" w:pos="9072"/>
            </w:tabs>
            <w:spacing w:after="0" w:line="240" w:lineRule="auto"/>
            <w:ind w:left="-954" w:right="72" w:firstLine="0"/>
            <w:jc w:val="right"/>
            <w:rPr>
              <w:rFonts w:ascii="Open Sans" w:cs="Open Sans" w:eastAsia="Open Sans" w:hAnsi="Open Sans"/>
              <w:b w:val="1"/>
              <w:sz w:val="16"/>
              <w:szCs w:val="16"/>
            </w:rPr>
          </w:pPr>
          <w:r w:rsidDel="00000000" w:rsidR="00000000" w:rsidRPr="00000000">
            <w:rPr>
              <w:rFonts w:ascii="Neo Sans Std" w:cs="Neo Sans Std" w:eastAsia="Neo Sans Std" w:hAnsi="Neo Sans Std"/>
              <w:sz w:val="18"/>
              <w:szCs w:val="18"/>
              <w:rtl w:val="0"/>
            </w:rPr>
            <w:br w:type="textWrapping"/>
          </w:r>
          <w:r w:rsidDel="00000000" w:rsidR="00000000" w:rsidRPr="00000000">
            <w:rPr>
              <w:rFonts w:ascii="Open Sans" w:cs="Open Sans" w:eastAsia="Open Sans" w:hAnsi="Open Sans"/>
              <w:sz w:val="16"/>
              <w:szCs w:val="16"/>
              <w:rtl w:val="0"/>
            </w:rPr>
            <w:t xml:space="preserve">Tyršova 158, Spálené Poříčí 335 61, IČ:</w:t>
          </w:r>
          <w:r w:rsidDel="00000000" w:rsidR="00000000" w:rsidRPr="00000000">
            <w:rPr>
              <w:rtl w:val="0"/>
            </w:rPr>
            <w:t xml:space="preserve"> </w:t>
          </w:r>
          <w:r w:rsidDel="00000000" w:rsidR="00000000" w:rsidRPr="00000000">
            <w:rPr>
              <w:rFonts w:ascii="Open Sans" w:cs="Open Sans" w:eastAsia="Open Sans" w:hAnsi="Open Sans"/>
              <w:sz w:val="16"/>
              <w:szCs w:val="16"/>
              <w:rtl w:val="0"/>
            </w:rPr>
            <w:t xml:space="preserve">02757125, DIČ: CZ02757125</w:t>
          </w:r>
          <w:r w:rsidDel="00000000" w:rsidR="00000000" w:rsidRPr="00000000">
            <w:rPr>
              <w:rtl w:val="0"/>
            </w:rPr>
          </w:r>
        </w:p>
        <w:p w:rsidR="00000000" w:rsidDel="00000000" w:rsidP="00000000" w:rsidRDefault="00000000" w:rsidRPr="00000000" w14:paraId="0000009C">
          <w:pPr>
            <w:tabs>
              <w:tab w:val="center" w:leader="none" w:pos="4536"/>
              <w:tab w:val="right" w:leader="none" w:pos="9072"/>
            </w:tabs>
            <w:spacing w:after="0" w:line="240" w:lineRule="auto"/>
            <w:ind w:left="-954" w:right="72" w:firstLine="0"/>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e-mail: </w:t>
          </w:r>
          <w:hyperlink r:id="rId2">
            <w:r w:rsidDel="00000000" w:rsidR="00000000" w:rsidRPr="00000000">
              <w:rPr>
                <w:rFonts w:ascii="Open Sans" w:cs="Open Sans" w:eastAsia="Open Sans" w:hAnsi="Open Sans"/>
                <w:color w:val="00b0f0"/>
                <w:sz w:val="16"/>
                <w:szCs w:val="16"/>
                <w:u w:val="single"/>
                <w:rtl w:val="0"/>
              </w:rPr>
              <w:t xml:space="preserve">kontakt@internethned.cz</w:t>
            </w:r>
          </w:hyperlink>
          <w:r w:rsidDel="00000000" w:rsidR="00000000" w:rsidRPr="00000000">
            <w:rPr>
              <w:rFonts w:ascii="Open Sans" w:cs="Open Sans" w:eastAsia="Open Sans" w:hAnsi="Open Sans"/>
              <w:sz w:val="16"/>
              <w:szCs w:val="16"/>
              <w:rtl w:val="0"/>
            </w:rPr>
            <w:br w:type="textWrapping"/>
            <w:t xml:space="preserve">web: </w:t>
          </w:r>
          <w:hyperlink r:id="rId3">
            <w:r w:rsidDel="00000000" w:rsidR="00000000" w:rsidRPr="00000000">
              <w:rPr>
                <w:rFonts w:ascii="Open Sans" w:cs="Open Sans" w:eastAsia="Open Sans" w:hAnsi="Open Sans"/>
                <w:color w:val="00b0f0"/>
                <w:sz w:val="16"/>
                <w:szCs w:val="16"/>
                <w:u w:val="single"/>
                <w:rtl w:val="0"/>
              </w:rPr>
              <w:t xml:space="preserve">www.radynet.cz</w:t>
            </w:r>
          </w:hyperlink>
          <w:r w:rsidDel="00000000" w:rsidR="00000000" w:rsidRPr="00000000">
            <w:rPr>
              <w:rtl w:val="0"/>
            </w:rPr>
          </w:r>
        </w:p>
        <w:p w:rsidR="00000000" w:rsidDel="00000000" w:rsidP="00000000" w:rsidRDefault="00000000" w:rsidRPr="00000000" w14:paraId="0000009D">
          <w:pPr>
            <w:tabs>
              <w:tab w:val="center" w:leader="none" w:pos="4536"/>
              <w:tab w:val="right" w:leader="none" w:pos="9072"/>
            </w:tabs>
            <w:spacing w:after="0" w:line="240" w:lineRule="auto"/>
            <w:ind w:left="-954" w:right="72" w:firstLine="0"/>
            <w:jc w:val="right"/>
            <w:rPr>
              <w:rFonts w:ascii="Neo Sans Std" w:cs="Neo Sans Std" w:eastAsia="Neo Sans Std" w:hAnsi="Neo Sans Std"/>
              <w:b w:val="1"/>
              <w:color w:val="38761d"/>
              <w:sz w:val="14"/>
              <w:szCs w:val="14"/>
            </w:rPr>
          </w:pPr>
          <w:r w:rsidDel="00000000" w:rsidR="00000000" w:rsidRPr="00000000">
            <w:rPr>
              <w:rFonts w:ascii="Open Sans" w:cs="Open Sans" w:eastAsia="Open Sans" w:hAnsi="Open Sans"/>
              <w:sz w:val="16"/>
              <w:szCs w:val="16"/>
              <w:rtl w:val="0"/>
            </w:rPr>
            <w:t xml:space="preserve">tel.: </w:t>
          </w:r>
          <w:r w:rsidDel="00000000" w:rsidR="00000000" w:rsidRPr="00000000">
            <w:rPr>
              <w:rFonts w:ascii="Open Sans" w:cs="Open Sans" w:eastAsia="Open Sans" w:hAnsi="Open Sans"/>
              <w:b w:val="1"/>
              <w:color w:val="92d050"/>
              <w:sz w:val="16"/>
              <w:szCs w:val="16"/>
              <w:rtl w:val="0"/>
            </w:rPr>
            <w:t xml:space="preserve">800 753 753</w:t>
          </w:r>
          <w:r w:rsidDel="00000000" w:rsidR="00000000" w:rsidRPr="00000000">
            <w:rPr>
              <w:rtl w:val="0"/>
            </w:rPr>
          </w:r>
        </w:p>
      </w:tc>
    </w:tr>
  </w:tbl>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c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ln" w:default="1">
    <w:name w:val="Normal"/>
    <w:qFormat w:val="1"/>
  </w:style>
  <w:style w:type="paragraph" w:styleId="Nadpis1">
    <w:name w:val="heading 1"/>
    <w:basedOn w:val="Normln"/>
    <w:next w:val="Normln"/>
    <w:link w:val="Nadpis1Char"/>
    <w:uiPriority w:val="9"/>
    <w:qFormat w:val="1"/>
    <w:rsid w:val="00F423FA"/>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Nadpis2">
    <w:name w:val="heading 2"/>
    <w:basedOn w:val="Normln"/>
    <w:next w:val="Normln"/>
    <w:link w:val="Nadpis2Char"/>
    <w:uiPriority w:val="9"/>
    <w:semiHidden w:val="1"/>
    <w:unhideWhenUsed w:val="1"/>
    <w:qFormat w:val="1"/>
    <w:rsid w:val="00F423FA"/>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Nadpis3">
    <w:name w:val="heading 3"/>
    <w:basedOn w:val="Normln"/>
    <w:next w:val="Normln"/>
    <w:link w:val="Nadpis3Char"/>
    <w:uiPriority w:val="9"/>
    <w:semiHidden w:val="1"/>
    <w:unhideWhenUsed w:val="1"/>
    <w:qFormat w:val="1"/>
    <w:rsid w:val="00F423FA"/>
    <w:pPr>
      <w:keepNext w:val="1"/>
      <w:keepLines w:val="1"/>
      <w:spacing w:after="80" w:before="160"/>
      <w:outlineLvl w:val="2"/>
    </w:pPr>
    <w:rPr>
      <w:rFonts w:cstheme="majorBidi" w:eastAsiaTheme="majorEastAsia"/>
      <w:color w:val="0f4761" w:themeColor="accent1" w:themeShade="0000BF"/>
      <w:sz w:val="28"/>
      <w:szCs w:val="28"/>
    </w:rPr>
  </w:style>
  <w:style w:type="paragraph" w:styleId="Nadpis4">
    <w:name w:val="heading 4"/>
    <w:basedOn w:val="Normln"/>
    <w:next w:val="Normln"/>
    <w:link w:val="Nadpis4Char"/>
    <w:uiPriority w:val="9"/>
    <w:semiHidden w:val="1"/>
    <w:unhideWhenUsed w:val="1"/>
    <w:qFormat w:val="1"/>
    <w:rsid w:val="00F423FA"/>
    <w:pPr>
      <w:keepNext w:val="1"/>
      <w:keepLines w:val="1"/>
      <w:spacing w:after="40" w:before="80"/>
      <w:outlineLvl w:val="3"/>
    </w:pPr>
    <w:rPr>
      <w:rFonts w:cstheme="majorBidi" w:eastAsiaTheme="majorEastAsia"/>
      <w:i w:val="1"/>
      <w:iCs w:val="1"/>
      <w:color w:val="0f4761" w:themeColor="accent1" w:themeShade="0000BF"/>
    </w:rPr>
  </w:style>
  <w:style w:type="paragraph" w:styleId="Nadpis5">
    <w:name w:val="heading 5"/>
    <w:basedOn w:val="Normln"/>
    <w:next w:val="Normln"/>
    <w:link w:val="Nadpis5Char"/>
    <w:uiPriority w:val="9"/>
    <w:semiHidden w:val="1"/>
    <w:unhideWhenUsed w:val="1"/>
    <w:qFormat w:val="1"/>
    <w:rsid w:val="00F423FA"/>
    <w:pPr>
      <w:keepNext w:val="1"/>
      <w:keepLines w:val="1"/>
      <w:spacing w:after="40" w:before="80"/>
      <w:outlineLvl w:val="4"/>
    </w:pPr>
    <w:rPr>
      <w:rFonts w:cstheme="majorBidi" w:eastAsiaTheme="majorEastAsia"/>
      <w:color w:val="0f4761" w:themeColor="accent1" w:themeShade="0000BF"/>
    </w:rPr>
  </w:style>
  <w:style w:type="paragraph" w:styleId="Nadpis6">
    <w:name w:val="heading 6"/>
    <w:basedOn w:val="Normln"/>
    <w:next w:val="Normln"/>
    <w:link w:val="Nadpis6Char"/>
    <w:uiPriority w:val="9"/>
    <w:semiHidden w:val="1"/>
    <w:unhideWhenUsed w:val="1"/>
    <w:qFormat w:val="1"/>
    <w:rsid w:val="00F423FA"/>
    <w:pPr>
      <w:keepNext w:val="1"/>
      <w:keepLines w:val="1"/>
      <w:spacing w:after="0" w:before="40"/>
      <w:outlineLvl w:val="5"/>
    </w:pPr>
    <w:rPr>
      <w:rFonts w:cstheme="majorBidi" w:eastAsiaTheme="majorEastAsia"/>
      <w:i w:val="1"/>
      <w:iCs w:val="1"/>
      <w:color w:val="595959" w:themeColor="text1" w:themeTint="0000A6"/>
    </w:rPr>
  </w:style>
  <w:style w:type="paragraph" w:styleId="Nadpis7">
    <w:name w:val="heading 7"/>
    <w:basedOn w:val="Normln"/>
    <w:next w:val="Normln"/>
    <w:link w:val="Nadpis7Char"/>
    <w:uiPriority w:val="9"/>
    <w:semiHidden w:val="1"/>
    <w:unhideWhenUsed w:val="1"/>
    <w:qFormat w:val="1"/>
    <w:rsid w:val="00F423FA"/>
    <w:pPr>
      <w:keepNext w:val="1"/>
      <w:keepLines w:val="1"/>
      <w:spacing w:after="0" w:before="40"/>
      <w:outlineLvl w:val="6"/>
    </w:pPr>
    <w:rPr>
      <w:rFonts w:cstheme="majorBidi" w:eastAsiaTheme="majorEastAsia"/>
      <w:color w:val="595959" w:themeColor="text1" w:themeTint="0000A6"/>
    </w:rPr>
  </w:style>
  <w:style w:type="paragraph" w:styleId="Nadpis8">
    <w:name w:val="heading 8"/>
    <w:basedOn w:val="Normln"/>
    <w:next w:val="Normln"/>
    <w:link w:val="Nadpis8Char"/>
    <w:uiPriority w:val="9"/>
    <w:semiHidden w:val="1"/>
    <w:unhideWhenUsed w:val="1"/>
    <w:qFormat w:val="1"/>
    <w:rsid w:val="00F423FA"/>
    <w:pPr>
      <w:keepNext w:val="1"/>
      <w:keepLines w:val="1"/>
      <w:spacing w:after="0"/>
      <w:outlineLvl w:val="7"/>
    </w:pPr>
    <w:rPr>
      <w:rFonts w:cstheme="majorBidi" w:eastAsiaTheme="majorEastAsia"/>
      <w:i w:val="1"/>
      <w:iCs w:val="1"/>
      <w:color w:val="272727" w:themeColor="text1" w:themeTint="0000D8"/>
    </w:rPr>
  </w:style>
  <w:style w:type="paragraph" w:styleId="Nadpis9">
    <w:name w:val="heading 9"/>
    <w:basedOn w:val="Normln"/>
    <w:next w:val="Normln"/>
    <w:link w:val="Nadpis9Char"/>
    <w:uiPriority w:val="9"/>
    <w:semiHidden w:val="1"/>
    <w:unhideWhenUsed w:val="1"/>
    <w:qFormat w:val="1"/>
    <w:rsid w:val="00F423FA"/>
    <w:pPr>
      <w:keepNext w:val="1"/>
      <w:keepLines w:val="1"/>
      <w:spacing w:after="0"/>
      <w:outlineLvl w:val="8"/>
    </w:pPr>
    <w:rPr>
      <w:rFonts w:cstheme="majorBidi" w:eastAsiaTheme="majorEastAsia"/>
      <w:color w:val="272727" w:themeColor="text1" w:themeTint="0000D8"/>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Nadpis1Char" w:customStyle="1">
    <w:name w:val="Nadpis 1 Char"/>
    <w:basedOn w:val="Standardnpsmoodstavce"/>
    <w:link w:val="Nadpis1"/>
    <w:uiPriority w:val="9"/>
    <w:rsid w:val="00F423FA"/>
    <w:rPr>
      <w:rFonts w:asciiTheme="majorHAnsi" w:cstheme="majorBidi" w:eastAsiaTheme="majorEastAsia" w:hAnsiTheme="majorHAnsi"/>
      <w:color w:val="0f4761" w:themeColor="accent1" w:themeShade="0000BF"/>
      <w:sz w:val="40"/>
      <w:szCs w:val="40"/>
    </w:rPr>
  </w:style>
  <w:style w:type="character" w:styleId="Nadpis2Char" w:customStyle="1">
    <w:name w:val="Nadpis 2 Char"/>
    <w:basedOn w:val="Standardnpsmoodstavce"/>
    <w:link w:val="Nadpis2"/>
    <w:uiPriority w:val="9"/>
    <w:semiHidden w:val="1"/>
    <w:rsid w:val="00F423FA"/>
    <w:rPr>
      <w:rFonts w:asciiTheme="majorHAnsi" w:cstheme="majorBidi" w:eastAsiaTheme="majorEastAsia" w:hAnsiTheme="majorHAnsi"/>
      <w:color w:val="0f4761" w:themeColor="accent1" w:themeShade="0000BF"/>
      <w:sz w:val="32"/>
      <w:szCs w:val="32"/>
    </w:rPr>
  </w:style>
  <w:style w:type="character" w:styleId="Nadpis3Char" w:customStyle="1">
    <w:name w:val="Nadpis 3 Char"/>
    <w:basedOn w:val="Standardnpsmoodstavce"/>
    <w:link w:val="Nadpis3"/>
    <w:uiPriority w:val="9"/>
    <w:semiHidden w:val="1"/>
    <w:rsid w:val="00F423FA"/>
    <w:rPr>
      <w:rFonts w:cstheme="majorBidi" w:eastAsiaTheme="majorEastAsia"/>
      <w:color w:val="0f4761" w:themeColor="accent1" w:themeShade="0000BF"/>
      <w:sz w:val="28"/>
      <w:szCs w:val="28"/>
    </w:rPr>
  </w:style>
  <w:style w:type="character" w:styleId="Nadpis4Char" w:customStyle="1">
    <w:name w:val="Nadpis 4 Char"/>
    <w:basedOn w:val="Standardnpsmoodstavce"/>
    <w:link w:val="Nadpis4"/>
    <w:uiPriority w:val="9"/>
    <w:semiHidden w:val="1"/>
    <w:rsid w:val="00F423FA"/>
    <w:rPr>
      <w:rFonts w:cstheme="majorBidi" w:eastAsiaTheme="majorEastAsia"/>
      <w:i w:val="1"/>
      <w:iCs w:val="1"/>
      <w:color w:val="0f4761" w:themeColor="accent1" w:themeShade="0000BF"/>
    </w:rPr>
  </w:style>
  <w:style w:type="character" w:styleId="Nadpis5Char" w:customStyle="1">
    <w:name w:val="Nadpis 5 Char"/>
    <w:basedOn w:val="Standardnpsmoodstavce"/>
    <w:link w:val="Nadpis5"/>
    <w:uiPriority w:val="9"/>
    <w:semiHidden w:val="1"/>
    <w:rsid w:val="00F423FA"/>
    <w:rPr>
      <w:rFonts w:cstheme="majorBidi" w:eastAsiaTheme="majorEastAsia"/>
      <w:color w:val="0f4761" w:themeColor="accent1" w:themeShade="0000BF"/>
    </w:rPr>
  </w:style>
  <w:style w:type="character" w:styleId="Nadpis6Char" w:customStyle="1">
    <w:name w:val="Nadpis 6 Char"/>
    <w:basedOn w:val="Standardnpsmoodstavce"/>
    <w:link w:val="Nadpis6"/>
    <w:uiPriority w:val="9"/>
    <w:semiHidden w:val="1"/>
    <w:rsid w:val="00F423FA"/>
    <w:rPr>
      <w:rFonts w:cstheme="majorBidi" w:eastAsiaTheme="majorEastAsia"/>
      <w:i w:val="1"/>
      <w:iCs w:val="1"/>
      <w:color w:val="595959" w:themeColor="text1" w:themeTint="0000A6"/>
    </w:rPr>
  </w:style>
  <w:style w:type="character" w:styleId="Nadpis7Char" w:customStyle="1">
    <w:name w:val="Nadpis 7 Char"/>
    <w:basedOn w:val="Standardnpsmoodstavce"/>
    <w:link w:val="Nadpis7"/>
    <w:uiPriority w:val="9"/>
    <w:semiHidden w:val="1"/>
    <w:rsid w:val="00F423FA"/>
    <w:rPr>
      <w:rFonts w:cstheme="majorBidi" w:eastAsiaTheme="majorEastAsia"/>
      <w:color w:val="595959" w:themeColor="text1" w:themeTint="0000A6"/>
    </w:rPr>
  </w:style>
  <w:style w:type="character" w:styleId="Nadpis8Char" w:customStyle="1">
    <w:name w:val="Nadpis 8 Char"/>
    <w:basedOn w:val="Standardnpsmoodstavce"/>
    <w:link w:val="Nadpis8"/>
    <w:uiPriority w:val="9"/>
    <w:semiHidden w:val="1"/>
    <w:rsid w:val="00F423FA"/>
    <w:rPr>
      <w:rFonts w:cstheme="majorBidi" w:eastAsiaTheme="majorEastAsia"/>
      <w:i w:val="1"/>
      <w:iCs w:val="1"/>
      <w:color w:val="272727" w:themeColor="text1" w:themeTint="0000D8"/>
    </w:rPr>
  </w:style>
  <w:style w:type="character" w:styleId="Nadpis9Char" w:customStyle="1">
    <w:name w:val="Nadpis 9 Char"/>
    <w:basedOn w:val="Standardnpsmoodstavce"/>
    <w:link w:val="Nadpis9"/>
    <w:uiPriority w:val="9"/>
    <w:semiHidden w:val="1"/>
    <w:rsid w:val="00F423FA"/>
    <w:rPr>
      <w:rFonts w:cstheme="majorBidi" w:eastAsiaTheme="majorEastAsia"/>
      <w:color w:val="272727" w:themeColor="text1" w:themeTint="0000D8"/>
    </w:rPr>
  </w:style>
  <w:style w:type="paragraph" w:styleId="Nzev">
    <w:name w:val="Title"/>
    <w:basedOn w:val="Normln"/>
    <w:next w:val="Normln"/>
    <w:link w:val="NzevChar"/>
    <w:uiPriority w:val="10"/>
    <w:qFormat w:val="1"/>
    <w:rsid w:val="00F423FA"/>
    <w:pPr>
      <w:spacing w:after="80" w:line="240" w:lineRule="auto"/>
      <w:contextualSpacing w:val="1"/>
    </w:pPr>
    <w:rPr>
      <w:rFonts w:asciiTheme="majorHAnsi" w:cstheme="majorBidi" w:eastAsiaTheme="majorEastAsia" w:hAnsiTheme="majorHAnsi"/>
      <w:spacing w:val="-10"/>
      <w:kern w:val="28"/>
      <w:sz w:val="56"/>
      <w:szCs w:val="56"/>
    </w:rPr>
  </w:style>
  <w:style w:type="character" w:styleId="NzevChar" w:customStyle="1">
    <w:name w:val="Název Char"/>
    <w:basedOn w:val="Standardnpsmoodstavce"/>
    <w:link w:val="Nzev"/>
    <w:uiPriority w:val="10"/>
    <w:rsid w:val="00F423FA"/>
    <w:rPr>
      <w:rFonts w:asciiTheme="majorHAnsi" w:cstheme="majorBidi" w:eastAsiaTheme="majorEastAsia" w:hAnsiTheme="majorHAnsi"/>
      <w:spacing w:val="-10"/>
      <w:kern w:val="28"/>
      <w:sz w:val="56"/>
      <w:szCs w:val="56"/>
    </w:rPr>
  </w:style>
  <w:style w:type="paragraph" w:styleId="Podnadpis">
    <w:name w:val="Subtitle"/>
    <w:basedOn w:val="Normln"/>
    <w:next w:val="Normln"/>
    <w:link w:val="PodnadpisChar"/>
    <w:uiPriority w:val="11"/>
    <w:qFormat w:val="1"/>
    <w:rsid w:val="00F423FA"/>
    <w:pPr>
      <w:numPr>
        <w:ilvl w:val="1"/>
      </w:numPr>
    </w:pPr>
    <w:rPr>
      <w:rFonts w:cstheme="majorBidi" w:eastAsiaTheme="majorEastAsia"/>
      <w:color w:val="595959" w:themeColor="text1" w:themeTint="0000A6"/>
      <w:spacing w:val="15"/>
      <w:sz w:val="28"/>
      <w:szCs w:val="28"/>
    </w:rPr>
  </w:style>
  <w:style w:type="character" w:styleId="PodnadpisChar" w:customStyle="1">
    <w:name w:val="Podnadpis Char"/>
    <w:basedOn w:val="Standardnpsmoodstavce"/>
    <w:link w:val="Podnadpis"/>
    <w:uiPriority w:val="11"/>
    <w:rsid w:val="00F423FA"/>
    <w:rPr>
      <w:rFonts w:cstheme="majorBidi" w:eastAsiaTheme="majorEastAsia"/>
      <w:color w:val="595959" w:themeColor="text1" w:themeTint="0000A6"/>
      <w:spacing w:val="15"/>
      <w:sz w:val="28"/>
      <w:szCs w:val="28"/>
    </w:rPr>
  </w:style>
  <w:style w:type="paragraph" w:styleId="Citt">
    <w:name w:val="Quote"/>
    <w:basedOn w:val="Normln"/>
    <w:next w:val="Normln"/>
    <w:link w:val="CittChar"/>
    <w:uiPriority w:val="29"/>
    <w:qFormat w:val="1"/>
    <w:rsid w:val="00F423FA"/>
    <w:pPr>
      <w:spacing w:before="160"/>
      <w:jc w:val="center"/>
    </w:pPr>
    <w:rPr>
      <w:i w:val="1"/>
      <w:iCs w:val="1"/>
      <w:color w:val="404040" w:themeColor="text1" w:themeTint="0000BF"/>
    </w:rPr>
  </w:style>
  <w:style w:type="character" w:styleId="CittChar" w:customStyle="1">
    <w:name w:val="Citát Char"/>
    <w:basedOn w:val="Standardnpsmoodstavce"/>
    <w:link w:val="Citt"/>
    <w:uiPriority w:val="29"/>
    <w:rsid w:val="00F423FA"/>
    <w:rPr>
      <w:i w:val="1"/>
      <w:iCs w:val="1"/>
      <w:color w:val="404040" w:themeColor="text1" w:themeTint="0000BF"/>
    </w:rPr>
  </w:style>
  <w:style w:type="paragraph" w:styleId="Odstavecseseznamem">
    <w:name w:val="List Paragraph"/>
    <w:basedOn w:val="Normln"/>
    <w:uiPriority w:val="34"/>
    <w:qFormat w:val="1"/>
    <w:rsid w:val="00F423FA"/>
    <w:pPr>
      <w:ind w:left="720"/>
      <w:contextualSpacing w:val="1"/>
    </w:pPr>
  </w:style>
  <w:style w:type="character" w:styleId="Zdraznnintenzivn">
    <w:name w:val="Intense Emphasis"/>
    <w:basedOn w:val="Standardnpsmoodstavce"/>
    <w:uiPriority w:val="21"/>
    <w:qFormat w:val="1"/>
    <w:rsid w:val="00F423FA"/>
    <w:rPr>
      <w:i w:val="1"/>
      <w:iCs w:val="1"/>
      <w:color w:val="0f4761" w:themeColor="accent1" w:themeShade="0000BF"/>
    </w:rPr>
  </w:style>
  <w:style w:type="paragraph" w:styleId="Vrazncitt">
    <w:name w:val="Intense Quote"/>
    <w:basedOn w:val="Normln"/>
    <w:next w:val="Normln"/>
    <w:link w:val="VrazncittChar"/>
    <w:uiPriority w:val="30"/>
    <w:qFormat w:val="1"/>
    <w:rsid w:val="00F423F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VrazncittChar" w:customStyle="1">
    <w:name w:val="Výrazný citát Char"/>
    <w:basedOn w:val="Standardnpsmoodstavce"/>
    <w:link w:val="Vrazncitt"/>
    <w:uiPriority w:val="30"/>
    <w:rsid w:val="00F423FA"/>
    <w:rPr>
      <w:i w:val="1"/>
      <w:iCs w:val="1"/>
      <w:color w:val="0f4761" w:themeColor="accent1" w:themeShade="0000BF"/>
    </w:rPr>
  </w:style>
  <w:style w:type="character" w:styleId="Odkazintenzivn">
    <w:name w:val="Intense Reference"/>
    <w:basedOn w:val="Standardnpsmoodstavce"/>
    <w:uiPriority w:val="32"/>
    <w:qFormat w:val="1"/>
    <w:rsid w:val="00F423FA"/>
    <w:rPr>
      <w:b w:val="1"/>
      <w:bCs w:val="1"/>
      <w:smallCaps w:val="1"/>
      <w:color w:val="0f4761" w:themeColor="accent1" w:themeShade="0000BF"/>
      <w:spacing w:val="5"/>
    </w:rPr>
  </w:style>
  <w:style w:type="paragraph" w:styleId="Zhlav">
    <w:name w:val="header"/>
    <w:basedOn w:val="Normln"/>
    <w:link w:val="ZhlavChar"/>
    <w:uiPriority w:val="99"/>
    <w:unhideWhenUsed w:val="1"/>
    <w:rsid w:val="00F423FA"/>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F423FA"/>
  </w:style>
  <w:style w:type="paragraph" w:styleId="Zpat">
    <w:name w:val="footer"/>
    <w:basedOn w:val="Normln"/>
    <w:link w:val="ZpatChar"/>
    <w:uiPriority w:val="99"/>
    <w:unhideWhenUsed w:val="1"/>
    <w:rsid w:val="00F423FA"/>
    <w:pPr>
      <w:tabs>
        <w:tab w:val="center" w:pos="4536"/>
        <w:tab w:val="right" w:pos="9072"/>
      </w:tabs>
      <w:spacing w:after="0" w:line="240" w:lineRule="auto"/>
    </w:pPr>
  </w:style>
  <w:style w:type="character" w:styleId="ZpatChar" w:customStyle="1">
    <w:name w:val="Zápatí Char"/>
    <w:basedOn w:val="Standardnpsmoodstavce"/>
    <w:link w:val="Zpat"/>
    <w:uiPriority w:val="99"/>
    <w:rsid w:val="00F423FA"/>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24.0" w:type="dxa"/>
        <w:left w:w="24.0" w:type="dxa"/>
        <w:bottom w:w="24.0" w:type="dxa"/>
        <w:right w:w="24.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mailto:kontakt@internethned.cz" TargetMode="External"/><Relationship Id="rId3" Type="http://schemas.openxmlformats.org/officeDocument/2006/relationships/hyperlink" Target="http://www.internethned.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MDF33YWBDF7g98/Y2FcdlF+dew==">CgMxLjAaHwoBMBIaChgICVIUChJ0YWJsZS5hcHhtaTNwaHFhMmI4AHIhMVJVdE5MNUN3bXJjd1ppNmU1UkRLY2ROX2lobmFEMVpf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2024-04-11T07:57:00Z</dcterms:created>
  <dc:creator>Alena Větrovcová</dc:creator>
</cp:coreProperties>
</file>