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423CE" w:rsidRDefault="001D7E6D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Příloha č. 4</w:t>
      </w:r>
      <w:r>
        <w:rPr>
          <w:rFonts w:ascii="Times New Roman" w:eastAsia="Times New Roman" w:hAnsi="Times New Roman" w:cs="Times New Roman"/>
          <w:b/>
        </w:rPr>
        <w:br/>
        <w:t xml:space="preserve">Minimální soubor SLA </w:t>
      </w:r>
    </w:p>
    <w:p w14:paraId="00000002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14:paraId="00000003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Článek I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Doba pro poskytnutí informace o volných kapacitách</w:t>
      </w:r>
    </w:p>
    <w:p w14:paraId="00000004" w14:textId="77777777" w:rsidR="005423CE" w:rsidRDefault="005423CE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14:paraId="00000005" w14:textId="77777777" w:rsidR="005423CE" w:rsidRDefault="001D7E6D">
      <w:pPr>
        <w:spacing w:after="0" w:line="288" w:lineRule="auto"/>
        <w:ind w:left="135" w:right="108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RADYNET</w:t>
      </w:r>
      <w:r>
        <w:rPr>
          <w:rFonts w:ascii="Times New Roman" w:eastAsia="Times New Roman" w:hAnsi="Times New Roman" w:cs="Times New Roman"/>
        </w:rPr>
        <w:t xml:space="preserve"> garantuje maximální dobu 3 pracovní dny pro poskytnutí informace o volných kapacitách pasivní infrastruktury a nenasvícených vláken od vyžádání elektronickou cestou (emailem) pro konkrétní poptanou trasu, území a typ infrastruktury. Pokud informace o voln</w:t>
      </w:r>
      <w:r>
        <w:rPr>
          <w:rFonts w:ascii="Times New Roman" w:eastAsia="Times New Roman" w:hAnsi="Times New Roman" w:cs="Times New Roman"/>
        </w:rPr>
        <w:t xml:space="preserve">ých kapacitách podléhají verifikaci s místním fyzickým šetřením, tak to </w:t>
      </w:r>
      <w:proofErr w:type="gramStart"/>
      <w:r>
        <w:rPr>
          <w:rFonts w:ascii="Times New Roman" w:eastAsia="Times New Roman" w:hAnsi="Times New Roman" w:cs="Times New Roman"/>
        </w:rPr>
        <w:t>bude  provedeno</w:t>
      </w:r>
      <w:proofErr w:type="gramEnd"/>
      <w:r>
        <w:rPr>
          <w:rFonts w:ascii="Times New Roman" w:eastAsia="Times New Roman" w:hAnsi="Times New Roman" w:cs="Times New Roman"/>
        </w:rPr>
        <w:t xml:space="preserve"> nejpozději do 15 pracovních dnů od podání žádosti. RADYNET může tuto splnit přístupem k mapovým podkladům vybudované infrastruktury způsobem umožňující dálkový </w:t>
      </w:r>
      <w:proofErr w:type="gramStart"/>
      <w:r>
        <w:rPr>
          <w:rFonts w:ascii="Times New Roman" w:eastAsia="Times New Roman" w:hAnsi="Times New Roman" w:cs="Times New Roman"/>
        </w:rPr>
        <w:t xml:space="preserve">přístup </w:t>
      </w:r>
      <w:r>
        <w:rPr>
          <w:rFonts w:ascii="Times New Roman" w:eastAsia="Times New Roman" w:hAnsi="Times New Roman" w:cs="Times New Roman"/>
        </w:rPr>
        <w:t>.</w:t>
      </w:r>
      <w:proofErr w:type="gramEnd"/>
    </w:p>
    <w:p w14:paraId="00000006" w14:textId="77777777" w:rsidR="005423CE" w:rsidRDefault="005423CE">
      <w:pPr>
        <w:spacing w:after="0" w:line="288" w:lineRule="auto"/>
        <w:ind w:left="135" w:right="1082"/>
        <w:jc w:val="both"/>
        <w:rPr>
          <w:rFonts w:ascii="Times New Roman" w:eastAsia="Times New Roman" w:hAnsi="Times New Roman" w:cs="Times New Roman"/>
        </w:rPr>
      </w:pPr>
    </w:p>
    <w:p w14:paraId="00000007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Článek II</w:t>
      </w:r>
    </w:p>
    <w:p w14:paraId="00000008" w14:textId="77777777" w:rsidR="005423CE" w:rsidRDefault="001D7E6D">
      <w:pPr>
        <w:widowControl w:val="0"/>
        <w:spacing w:after="4" w:line="291" w:lineRule="auto"/>
        <w:ind w:left="136" w:right="13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Povinné a volitelné parametry kvality pro jednotlivé typy přístupu</w:t>
      </w:r>
    </w:p>
    <w:p w14:paraId="00000009" w14:textId="77777777" w:rsidR="005423CE" w:rsidRDefault="005423CE">
      <w:pPr>
        <w:widowControl w:val="0"/>
        <w:spacing w:after="4" w:line="291" w:lineRule="auto"/>
        <w:ind w:left="136" w:right="134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9153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83"/>
        <w:gridCol w:w="1985"/>
        <w:gridCol w:w="1701"/>
        <w:gridCol w:w="1645"/>
        <w:gridCol w:w="1439"/>
      </w:tblGrid>
      <w:tr w:rsidR="005423CE" w14:paraId="4D19DF96" w14:textId="77777777">
        <w:tc>
          <w:tcPr>
            <w:tcW w:w="2383" w:type="dxa"/>
          </w:tcPr>
          <w:p w14:paraId="0000000A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Parametr kvality</w:t>
            </w:r>
          </w:p>
        </w:tc>
        <w:tc>
          <w:tcPr>
            <w:tcW w:w="1985" w:type="dxa"/>
          </w:tcPr>
          <w:p w14:paraId="0000000B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Přístup k pasivní infrastruktuře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kabelovody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chráničky,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nenasvícené  optické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vlákno)</w:t>
            </w:r>
          </w:p>
        </w:tc>
        <w:tc>
          <w:tcPr>
            <w:tcW w:w="1701" w:type="dxa"/>
          </w:tcPr>
          <w:p w14:paraId="0000000C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Fyzické zpřístupnění účastnického vedení a jeho úseku</w:t>
            </w:r>
          </w:p>
        </w:tc>
        <w:tc>
          <w:tcPr>
            <w:tcW w:w="1645" w:type="dxa"/>
          </w:tcPr>
          <w:p w14:paraId="0000000D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Virtuální zpří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stupnění účastnického vedení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(VULA)</w:t>
            </w:r>
          </w:p>
        </w:tc>
        <w:tc>
          <w:tcPr>
            <w:tcW w:w="1439" w:type="dxa"/>
          </w:tcPr>
          <w:p w14:paraId="0000000E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Přístup k datovému toku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Bitstream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23CE" w14:paraId="74A357A1" w14:textId="77777777">
        <w:tc>
          <w:tcPr>
            <w:tcW w:w="2383" w:type="dxa"/>
          </w:tcPr>
          <w:p w14:paraId="0000000F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Doba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zřízení  služby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přístupu (včetně změny typu přístupu-migrace a doby pro změnu poskytovatele služby)</w:t>
            </w:r>
          </w:p>
        </w:tc>
        <w:tc>
          <w:tcPr>
            <w:tcW w:w="1985" w:type="dxa"/>
          </w:tcPr>
          <w:p w14:paraId="00000010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Povinný/Volitelný* </w:t>
            </w:r>
          </w:p>
        </w:tc>
        <w:tc>
          <w:tcPr>
            <w:tcW w:w="1701" w:type="dxa"/>
          </w:tcPr>
          <w:p w14:paraId="00000011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Povinný</w:t>
            </w:r>
          </w:p>
        </w:tc>
        <w:tc>
          <w:tcPr>
            <w:tcW w:w="1645" w:type="dxa"/>
          </w:tcPr>
          <w:p w14:paraId="00000012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Povinný</w:t>
            </w:r>
          </w:p>
        </w:tc>
        <w:tc>
          <w:tcPr>
            <w:tcW w:w="1439" w:type="dxa"/>
          </w:tcPr>
          <w:p w14:paraId="00000013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Povinný</w:t>
            </w:r>
          </w:p>
        </w:tc>
      </w:tr>
      <w:tr w:rsidR="005423CE" w14:paraId="3965A909" w14:textId="77777777">
        <w:tc>
          <w:tcPr>
            <w:tcW w:w="2383" w:type="dxa"/>
          </w:tcPr>
          <w:p w14:paraId="00000014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Měsíční dostupnost služby</w:t>
            </w:r>
          </w:p>
        </w:tc>
        <w:tc>
          <w:tcPr>
            <w:tcW w:w="1985" w:type="dxa"/>
          </w:tcPr>
          <w:p w14:paraId="00000015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Volitelný, povinný pouze pro vlákno</w:t>
            </w:r>
          </w:p>
        </w:tc>
        <w:tc>
          <w:tcPr>
            <w:tcW w:w="1701" w:type="dxa"/>
          </w:tcPr>
          <w:p w14:paraId="00000016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Povinný</w:t>
            </w:r>
          </w:p>
        </w:tc>
        <w:tc>
          <w:tcPr>
            <w:tcW w:w="1645" w:type="dxa"/>
          </w:tcPr>
          <w:p w14:paraId="00000017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Povinný</w:t>
            </w:r>
          </w:p>
        </w:tc>
        <w:tc>
          <w:tcPr>
            <w:tcW w:w="1439" w:type="dxa"/>
          </w:tcPr>
          <w:p w14:paraId="00000018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Povinný</w:t>
            </w:r>
          </w:p>
        </w:tc>
      </w:tr>
      <w:tr w:rsidR="005423CE" w14:paraId="0C128754" w14:textId="77777777">
        <w:tc>
          <w:tcPr>
            <w:tcW w:w="2383" w:type="dxa"/>
          </w:tcPr>
          <w:p w14:paraId="00000019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Doba opravy služby</w:t>
            </w:r>
          </w:p>
        </w:tc>
        <w:tc>
          <w:tcPr>
            <w:tcW w:w="1985" w:type="dxa"/>
          </w:tcPr>
          <w:p w14:paraId="0000001A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Povinný</w:t>
            </w:r>
          </w:p>
        </w:tc>
        <w:tc>
          <w:tcPr>
            <w:tcW w:w="1701" w:type="dxa"/>
          </w:tcPr>
          <w:p w14:paraId="0000001B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Povinný</w:t>
            </w:r>
          </w:p>
        </w:tc>
        <w:tc>
          <w:tcPr>
            <w:tcW w:w="1645" w:type="dxa"/>
          </w:tcPr>
          <w:p w14:paraId="0000001C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Povinný</w:t>
            </w:r>
          </w:p>
        </w:tc>
        <w:tc>
          <w:tcPr>
            <w:tcW w:w="1439" w:type="dxa"/>
          </w:tcPr>
          <w:p w14:paraId="0000001D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Povinný</w:t>
            </w:r>
          </w:p>
        </w:tc>
      </w:tr>
      <w:tr w:rsidR="005423CE" w14:paraId="3DDE58D0" w14:textId="77777777">
        <w:tc>
          <w:tcPr>
            <w:tcW w:w="2383" w:type="dxa"/>
          </w:tcPr>
          <w:p w14:paraId="0000001E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Měsíční dostupnost předávacího rozhraní služeb</w:t>
            </w:r>
          </w:p>
        </w:tc>
        <w:tc>
          <w:tcPr>
            <w:tcW w:w="1985" w:type="dxa"/>
          </w:tcPr>
          <w:p w14:paraId="0000001F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Volitelný</w:t>
            </w:r>
          </w:p>
        </w:tc>
        <w:tc>
          <w:tcPr>
            <w:tcW w:w="1701" w:type="dxa"/>
          </w:tcPr>
          <w:p w14:paraId="00000020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Volitelný</w:t>
            </w:r>
          </w:p>
        </w:tc>
        <w:tc>
          <w:tcPr>
            <w:tcW w:w="1645" w:type="dxa"/>
          </w:tcPr>
          <w:p w14:paraId="00000021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Povinný</w:t>
            </w:r>
          </w:p>
        </w:tc>
        <w:tc>
          <w:tcPr>
            <w:tcW w:w="1439" w:type="dxa"/>
          </w:tcPr>
          <w:p w14:paraId="00000022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Povinný</w:t>
            </w:r>
          </w:p>
        </w:tc>
      </w:tr>
      <w:tr w:rsidR="005423CE" w14:paraId="1601FF5A" w14:textId="77777777">
        <w:tc>
          <w:tcPr>
            <w:tcW w:w="2383" w:type="dxa"/>
          </w:tcPr>
          <w:p w14:paraId="00000023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Doba pro poskytnutí informace o volných kapacitách</w:t>
            </w:r>
          </w:p>
        </w:tc>
        <w:tc>
          <w:tcPr>
            <w:tcW w:w="1985" w:type="dxa"/>
          </w:tcPr>
          <w:p w14:paraId="00000024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Povinný</w:t>
            </w:r>
          </w:p>
        </w:tc>
        <w:tc>
          <w:tcPr>
            <w:tcW w:w="1701" w:type="dxa"/>
          </w:tcPr>
          <w:p w14:paraId="00000025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645" w:type="dxa"/>
          </w:tcPr>
          <w:p w14:paraId="00000026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439" w:type="dxa"/>
          </w:tcPr>
          <w:p w14:paraId="00000027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-</w:t>
            </w:r>
          </w:p>
        </w:tc>
      </w:tr>
      <w:tr w:rsidR="005423CE" w14:paraId="65ADE6BA" w14:textId="77777777">
        <w:tc>
          <w:tcPr>
            <w:tcW w:w="2383" w:type="dxa"/>
          </w:tcPr>
          <w:p w14:paraId="00000028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Měsíční dostupnost objednávkového systému</w:t>
            </w:r>
          </w:p>
        </w:tc>
        <w:tc>
          <w:tcPr>
            <w:tcW w:w="1985" w:type="dxa"/>
          </w:tcPr>
          <w:p w14:paraId="00000029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Povinný</w:t>
            </w:r>
          </w:p>
        </w:tc>
        <w:tc>
          <w:tcPr>
            <w:tcW w:w="1701" w:type="dxa"/>
          </w:tcPr>
          <w:p w14:paraId="0000002A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Povinný</w:t>
            </w:r>
          </w:p>
        </w:tc>
        <w:tc>
          <w:tcPr>
            <w:tcW w:w="1645" w:type="dxa"/>
          </w:tcPr>
          <w:p w14:paraId="0000002B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Povinný</w:t>
            </w:r>
          </w:p>
        </w:tc>
        <w:tc>
          <w:tcPr>
            <w:tcW w:w="1439" w:type="dxa"/>
          </w:tcPr>
          <w:p w14:paraId="0000002C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Povinný</w:t>
            </w:r>
          </w:p>
        </w:tc>
      </w:tr>
      <w:tr w:rsidR="005423CE" w14:paraId="5B794EE7" w14:textId="77777777">
        <w:tc>
          <w:tcPr>
            <w:tcW w:w="2383" w:type="dxa"/>
          </w:tcPr>
          <w:p w14:paraId="0000002D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Kvalita služby</w:t>
            </w:r>
          </w:p>
        </w:tc>
        <w:tc>
          <w:tcPr>
            <w:tcW w:w="1985" w:type="dxa"/>
          </w:tcPr>
          <w:p w14:paraId="0000002E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-</w:t>
            </w:r>
          </w:p>
        </w:tc>
        <w:tc>
          <w:tcPr>
            <w:tcW w:w="1701" w:type="dxa"/>
          </w:tcPr>
          <w:p w14:paraId="0000002F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-</w:t>
            </w:r>
          </w:p>
        </w:tc>
        <w:tc>
          <w:tcPr>
            <w:tcW w:w="1645" w:type="dxa"/>
          </w:tcPr>
          <w:p w14:paraId="00000030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Povinný</w:t>
            </w:r>
          </w:p>
        </w:tc>
        <w:tc>
          <w:tcPr>
            <w:tcW w:w="1439" w:type="dxa"/>
          </w:tcPr>
          <w:p w14:paraId="00000031" w14:textId="77777777" w:rsidR="005423CE" w:rsidRDefault="001D7E6D">
            <w:p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Povinný</w:t>
            </w:r>
          </w:p>
        </w:tc>
      </w:tr>
    </w:tbl>
    <w:p w14:paraId="00000032" w14:textId="77777777" w:rsidR="005423CE" w:rsidRDefault="005423CE">
      <w:pPr>
        <w:widowControl w:val="0"/>
        <w:spacing w:after="0" w:line="240" w:lineRule="auto"/>
        <w:ind w:left="136"/>
        <w:rPr>
          <w:rFonts w:ascii="Times New Roman" w:eastAsia="Times New Roman" w:hAnsi="Times New Roman" w:cs="Times New Roman"/>
          <w:sz w:val="20"/>
          <w:szCs w:val="20"/>
        </w:rPr>
      </w:pPr>
    </w:p>
    <w:p w14:paraId="00000033" w14:textId="77777777" w:rsidR="005423CE" w:rsidRDefault="001D7E6D">
      <w:pPr>
        <w:spacing w:after="0" w:line="288" w:lineRule="auto"/>
        <w:ind w:left="13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</w:rPr>
        <w:t>Uvedené SLA je volitelné pouze pro změnu poskytovatele služby prostřednictvím přístupu k pasivní infrastruktuře, pro ostatní možnosti je povinné.</w:t>
      </w:r>
    </w:p>
    <w:p w14:paraId="00000034" w14:textId="77777777" w:rsidR="005423CE" w:rsidRDefault="005423CE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</w:rPr>
      </w:pPr>
    </w:p>
    <w:p w14:paraId="00000035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Článek III</w:t>
      </w:r>
    </w:p>
    <w:p w14:paraId="00000036" w14:textId="77777777" w:rsidR="005423CE" w:rsidRDefault="001D7E6D">
      <w:pPr>
        <w:spacing w:after="0" w:line="288" w:lineRule="auto"/>
        <w:ind w:left="135" w:right="108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Doba zřízení dílčího plnění Smlouvy (služby)</w:t>
      </w:r>
      <w:proofErr w:type="gramStart"/>
      <w:r>
        <w:rPr>
          <w:rFonts w:ascii="Times New Roman" w:eastAsia="Times New Roman" w:hAnsi="Times New Roman" w:cs="Times New Roman"/>
          <w:b/>
        </w:rPr>
        <w:t>přístupu ,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včetně změny typu přístupu – migrace a doby</w:t>
      </w:r>
      <w:r>
        <w:rPr>
          <w:rFonts w:ascii="Times New Roman" w:eastAsia="Times New Roman" w:hAnsi="Times New Roman" w:cs="Times New Roman"/>
          <w:b/>
        </w:rPr>
        <w:t xml:space="preserve"> pro změnu poskytovatele služby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</w:rPr>
        <w:br/>
        <w:t xml:space="preserve">Maximální doba pro zřízení služby pro všechny typy přístupu je 30 dní. 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RADYNET garantuje maximální dobu pro změnu poskytovatele služby 9 pracovních dnů. </w:t>
      </w:r>
      <w:r>
        <w:rPr>
          <w:rFonts w:ascii="Times New Roman" w:eastAsia="Times New Roman" w:hAnsi="Times New Roman" w:cs="Times New Roman"/>
        </w:rPr>
        <w:br/>
        <w:t xml:space="preserve">RADYNET umožní migraci mezi jednotlivými typy přístupu v pouze nezbytně nutných lhůtách tak, aby došlo k minimálnímu výpadku anebo přerušení v poskytování služeb v koncovém </w:t>
      </w:r>
      <w:r>
        <w:rPr>
          <w:rFonts w:ascii="Times New Roman" w:eastAsia="Times New Roman" w:hAnsi="Times New Roman" w:cs="Times New Roman"/>
        </w:rPr>
        <w:t>bodě.</w:t>
      </w:r>
    </w:p>
    <w:p w14:paraId="00000037" w14:textId="77777777" w:rsidR="005423CE" w:rsidRDefault="005423CE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</w:p>
    <w:p w14:paraId="00000038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Článek III</w:t>
      </w:r>
    </w:p>
    <w:p w14:paraId="00000039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Měsíční dostupnost objednávkového systému</w:t>
      </w:r>
    </w:p>
    <w:p w14:paraId="0000003A" w14:textId="77777777" w:rsidR="005423CE" w:rsidRDefault="005423CE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</w:p>
    <w:p w14:paraId="0000003B" w14:textId="77777777" w:rsidR="005423CE" w:rsidRDefault="001D7E6D">
      <w:pPr>
        <w:spacing w:after="0" w:line="288" w:lineRule="auto"/>
        <w:ind w:left="135" w:right="108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RADYNET garantuje minimálně 95% měsíční dostupnost objednávkového systému, pokud </w:t>
      </w:r>
      <w:proofErr w:type="gramStart"/>
      <w:r>
        <w:rPr>
          <w:rFonts w:ascii="Times New Roman" w:eastAsia="Times New Roman" w:hAnsi="Times New Roman" w:cs="Times New Roman"/>
        </w:rPr>
        <w:t>bude  využíván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14:paraId="0000003C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Článek V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Měsíční dostupnost služby</w:t>
      </w:r>
    </w:p>
    <w:p w14:paraId="0000003D" w14:textId="77777777" w:rsidR="005423CE" w:rsidRDefault="005423CE">
      <w:pPr>
        <w:spacing w:after="0" w:line="288" w:lineRule="auto"/>
        <w:ind w:left="135" w:right="1082"/>
        <w:rPr>
          <w:rFonts w:ascii="Times New Roman" w:eastAsia="Times New Roman" w:hAnsi="Times New Roman" w:cs="Times New Roman"/>
        </w:rPr>
      </w:pPr>
    </w:p>
    <w:p w14:paraId="0000003E" w14:textId="77777777" w:rsidR="005423CE" w:rsidRDefault="001D7E6D">
      <w:pPr>
        <w:spacing w:after="0" w:line="288" w:lineRule="auto"/>
        <w:ind w:left="135" w:right="108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Měsíční dostupnost v % se vypočítá následujícím způsobem:</w:t>
      </w:r>
    </w:p>
    <w:p w14:paraId="0000003F" w14:textId="77777777" w:rsidR="005423CE" w:rsidRDefault="001D7E6D">
      <w:pPr>
        <w:spacing w:after="0" w:line="288" w:lineRule="auto"/>
        <w:ind w:left="135" w:right="108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5746990" cy="396049"/>
            <wp:effectExtent l="0" t="0" r="0" b="0"/>
            <wp:docPr id="769949088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6990" cy="3960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40" w14:textId="77777777" w:rsidR="005423CE" w:rsidRDefault="001D7E6D">
      <w:pPr>
        <w:spacing w:after="0" w:line="288" w:lineRule="auto"/>
        <w:ind w:left="135" w:right="108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 celkové dostupnosti služby za kalendářní měsíc se nezapočítává doba přerušení provozu služby z důvodu plánované údržby. RADYNET garantuje minimální měsíční dostupnost služby pro jednotlivé typy</w:t>
      </w:r>
      <w:r>
        <w:rPr>
          <w:rFonts w:ascii="Times New Roman" w:eastAsia="Times New Roman" w:hAnsi="Times New Roman" w:cs="Times New Roman"/>
        </w:rPr>
        <w:t xml:space="preserve"> přístupu dle následující tabulky:</w:t>
      </w:r>
      <w:r>
        <w:rPr>
          <w:rFonts w:ascii="Times New Roman" w:eastAsia="Times New Roman" w:hAnsi="Times New Roman" w:cs="Times New Roman"/>
        </w:rPr>
        <w:br/>
      </w:r>
    </w:p>
    <w:p w14:paraId="00000041" w14:textId="77777777" w:rsidR="005423CE" w:rsidRDefault="001D7E6D">
      <w:pPr>
        <w:widowControl w:val="0"/>
        <w:spacing w:after="0" w:line="240" w:lineRule="auto"/>
        <w:ind w:left="13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722940" cy="1158239"/>
            <wp:effectExtent l="0" t="0" r="0" b="0"/>
            <wp:docPr id="76994908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2940" cy="115823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42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color w:val="2D73B6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lastRenderedPageBreak/>
        <w:t>Článek VI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Kvalita Služby</w:t>
      </w:r>
    </w:p>
    <w:p w14:paraId="00000043" w14:textId="77777777" w:rsidR="005423CE" w:rsidRDefault="001D7E6D">
      <w:pPr>
        <w:widowControl w:val="0"/>
        <w:spacing w:before="269"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RADYNET garantuje hraniční hodnoty chybovosti (ztrátovost) a zpoždění paketů /rámců v souladu s dokumentem ČTÚ Metodika pro měření a vyhodnocení datových parametrů pevných komunikačních sítí </w:t>
      </w:r>
      <w:r>
        <w:rPr>
          <w:rFonts w:ascii="Times New Roman" w:eastAsia="Times New Roman" w:hAnsi="Times New Roman" w:cs="Times New Roman"/>
        </w:rPr>
        <w:t>viz. Příloha 2 - ČTÚ Metodika pro měření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</w:p>
    <w:p w14:paraId="00000044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  <w:color w:val="2D73B6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Článek VII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 xml:space="preserve"> Doba opravy Služby</w:t>
      </w:r>
    </w:p>
    <w:p w14:paraId="00000045" w14:textId="77777777" w:rsidR="005423CE" w:rsidRDefault="001D7E6D">
      <w:pPr>
        <w:widowControl w:val="0"/>
        <w:spacing w:before="269"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RADYNET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garantuje maximální dobu opravy pro jednotlivé typy přístupu, tak jak je uvedena 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následujícít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abulce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0000046" w14:textId="77777777" w:rsidR="005423CE" w:rsidRDefault="005423CE">
      <w:pPr>
        <w:widowControl w:val="0"/>
        <w:spacing w:before="269"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152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8"/>
        <w:gridCol w:w="2447"/>
        <w:gridCol w:w="2694"/>
        <w:gridCol w:w="2063"/>
      </w:tblGrid>
      <w:tr w:rsidR="005423CE" w14:paraId="57D4CBE2" w14:textId="77777777" w:rsidTr="00034A11">
        <w:tc>
          <w:tcPr>
            <w:tcW w:w="1948" w:type="dxa"/>
            <w:shd w:val="clear" w:color="auto" w:fill="F2F2F2"/>
          </w:tcPr>
          <w:p w14:paraId="00000047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Přístup k pasivní infrastruktuře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kabelovody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,chráničky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nenasvícené optické vlákno)</w:t>
            </w:r>
          </w:p>
        </w:tc>
        <w:tc>
          <w:tcPr>
            <w:tcW w:w="2447" w:type="dxa"/>
            <w:shd w:val="clear" w:color="auto" w:fill="F2F2F2"/>
          </w:tcPr>
          <w:p w14:paraId="00000048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Fyzické zpřístupnění účastnického vedení a jeho úseku</w:t>
            </w:r>
          </w:p>
        </w:tc>
        <w:tc>
          <w:tcPr>
            <w:tcW w:w="2694" w:type="dxa"/>
            <w:shd w:val="clear" w:color="auto" w:fill="F2F2F2"/>
          </w:tcPr>
          <w:p w14:paraId="00000049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Virtuální z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přístupnění účastnického vedení VULA</w:t>
            </w:r>
          </w:p>
        </w:tc>
        <w:tc>
          <w:tcPr>
            <w:tcW w:w="2063" w:type="dxa"/>
            <w:shd w:val="clear" w:color="auto" w:fill="F2F2F2"/>
          </w:tcPr>
          <w:p w14:paraId="0000004A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Bitstream</w:t>
            </w:r>
            <w:proofErr w:type="spellEnd"/>
          </w:p>
        </w:tc>
      </w:tr>
      <w:tr w:rsidR="005423CE" w14:paraId="199E8062" w14:textId="77777777" w:rsidTr="00034A11">
        <w:tc>
          <w:tcPr>
            <w:tcW w:w="1948" w:type="dxa"/>
          </w:tcPr>
          <w:p w14:paraId="0000004B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jezdu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technika</w:t>
            </w:r>
          </w:p>
        </w:tc>
        <w:tc>
          <w:tcPr>
            <w:tcW w:w="2447" w:type="dxa"/>
          </w:tcPr>
          <w:p w14:paraId="0000004C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výjezdu technika</w:t>
            </w:r>
          </w:p>
        </w:tc>
        <w:tc>
          <w:tcPr>
            <w:tcW w:w="2694" w:type="dxa"/>
          </w:tcPr>
          <w:p w14:paraId="0000004D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hodiny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výjezdu technika</w:t>
            </w:r>
          </w:p>
        </w:tc>
        <w:tc>
          <w:tcPr>
            <w:tcW w:w="2063" w:type="dxa"/>
          </w:tcPr>
          <w:p w14:paraId="0000004E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hodiny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výjezdu technika</w:t>
            </w:r>
          </w:p>
        </w:tc>
      </w:tr>
      <w:tr w:rsidR="005423CE" w14:paraId="70AFFCED" w14:textId="77777777" w:rsidTr="00034A11">
        <w:tc>
          <w:tcPr>
            <w:tcW w:w="1948" w:type="dxa"/>
          </w:tcPr>
          <w:p w14:paraId="0000004F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výjezdu technika</w:t>
            </w:r>
          </w:p>
        </w:tc>
        <w:tc>
          <w:tcPr>
            <w:tcW w:w="2447" w:type="dxa"/>
          </w:tcPr>
          <w:p w14:paraId="00000050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výjezdu technika</w:t>
            </w:r>
          </w:p>
        </w:tc>
        <w:tc>
          <w:tcPr>
            <w:tcW w:w="2694" w:type="dxa"/>
          </w:tcPr>
          <w:p w14:paraId="00000051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výjezdu technika</w:t>
            </w:r>
          </w:p>
        </w:tc>
        <w:tc>
          <w:tcPr>
            <w:tcW w:w="2063" w:type="dxa"/>
          </w:tcPr>
          <w:p w14:paraId="00000052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výjezdu technika</w:t>
            </w:r>
          </w:p>
        </w:tc>
      </w:tr>
      <w:tr w:rsidR="005423CE" w14:paraId="2A86FB52" w14:textId="77777777" w:rsidTr="00034A11">
        <w:tc>
          <w:tcPr>
            <w:tcW w:w="1948" w:type="dxa"/>
          </w:tcPr>
          <w:p w14:paraId="00000053" w14:textId="77777777" w:rsidR="005423CE" w:rsidRDefault="005423CE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14:paraId="00000054" w14:textId="77777777" w:rsidR="005423CE" w:rsidRDefault="005423CE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0000055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výjezdu technika</w:t>
            </w:r>
          </w:p>
        </w:tc>
        <w:tc>
          <w:tcPr>
            <w:tcW w:w="2063" w:type="dxa"/>
          </w:tcPr>
          <w:p w14:paraId="00000056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výjezdu technika</w:t>
            </w:r>
          </w:p>
        </w:tc>
      </w:tr>
      <w:tr w:rsidR="005423CE" w14:paraId="17644FEF" w14:textId="77777777" w:rsidTr="00034A11">
        <w:tc>
          <w:tcPr>
            <w:tcW w:w="1948" w:type="dxa"/>
          </w:tcPr>
          <w:p w14:paraId="00000057" w14:textId="77777777" w:rsidR="005423CE" w:rsidRDefault="005423CE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14:paraId="00000058" w14:textId="77777777" w:rsidR="005423CE" w:rsidRDefault="005423CE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00000059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výjezdu technika</w:t>
            </w:r>
          </w:p>
        </w:tc>
        <w:tc>
          <w:tcPr>
            <w:tcW w:w="2063" w:type="dxa"/>
          </w:tcPr>
          <w:p w14:paraId="0000005A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výjezdu technika</w:t>
            </w:r>
          </w:p>
        </w:tc>
      </w:tr>
    </w:tbl>
    <w:p w14:paraId="0000005B" w14:textId="77777777" w:rsidR="005423CE" w:rsidRDefault="005423CE">
      <w:pPr>
        <w:widowControl w:val="0"/>
        <w:spacing w:before="269"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</w:p>
    <w:p w14:paraId="0000005C" w14:textId="77777777" w:rsidR="005423CE" w:rsidRDefault="001D7E6D">
      <w:pPr>
        <w:widowControl w:val="0"/>
        <w:spacing w:before="269" w:after="0" w:line="240" w:lineRule="auto"/>
        <w:ind w:left="13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Článek VIII</w:t>
      </w:r>
    </w:p>
    <w:p w14:paraId="0000005D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Měsíční dostupnost předávacího rozhraní služeb</w:t>
      </w:r>
    </w:p>
    <w:p w14:paraId="0000005E" w14:textId="77777777" w:rsidR="005423CE" w:rsidRDefault="005423CE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14:paraId="0000005F" w14:textId="77777777" w:rsidR="005423CE" w:rsidRDefault="001D7E6D">
      <w:pPr>
        <w:widowControl w:val="0"/>
        <w:spacing w:after="0" w:line="240" w:lineRule="auto"/>
        <w:ind w:left="135" w:right="1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RADYNET</w:t>
      </w:r>
      <w:r>
        <w:rPr>
          <w:rFonts w:ascii="Times New Roman" w:eastAsia="Times New Roman" w:hAnsi="Times New Roman" w:cs="Times New Roman"/>
        </w:rPr>
        <w:t xml:space="preserve"> garantuje minimální měsíční dostupnost a maximální dobu opravy předávacího rozhraní </w:t>
      </w:r>
      <w:r>
        <w:rPr>
          <w:rFonts w:ascii="Times New Roman" w:eastAsia="Times New Roman" w:hAnsi="Times New Roman" w:cs="Times New Roman"/>
        </w:rPr>
        <w:lastRenderedPageBreak/>
        <w:t>služeb (síťové rozhraní mezi sítí RADYNET a sítí Partnera) v souladu s následující tabulkou.</w:t>
      </w:r>
    </w:p>
    <w:p w14:paraId="00000060" w14:textId="77777777" w:rsidR="005423CE" w:rsidRDefault="005423CE">
      <w:pPr>
        <w:widowControl w:val="0"/>
        <w:spacing w:after="0" w:line="240" w:lineRule="auto"/>
        <w:ind w:left="135" w:right="136"/>
        <w:jc w:val="both"/>
        <w:rPr>
          <w:rFonts w:ascii="Times New Roman" w:eastAsia="Times New Roman" w:hAnsi="Times New Roman" w:cs="Times New Roman"/>
        </w:rPr>
      </w:pPr>
    </w:p>
    <w:p w14:paraId="00000061" w14:textId="77777777" w:rsidR="005423CE" w:rsidRDefault="001D7E6D">
      <w:pPr>
        <w:widowControl w:val="0"/>
        <w:spacing w:after="0" w:line="240" w:lineRule="auto"/>
        <w:ind w:left="13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415890" cy="990600"/>
            <wp:effectExtent l="0" t="0" r="0" b="0"/>
            <wp:docPr id="769949087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62" w14:textId="77777777" w:rsidR="005423CE" w:rsidRDefault="005423CE">
      <w:pPr>
        <w:widowControl w:val="0"/>
        <w:spacing w:before="269" w:after="0" w:line="240" w:lineRule="auto"/>
        <w:ind w:left="136"/>
        <w:jc w:val="center"/>
        <w:rPr>
          <w:rFonts w:ascii="Times New Roman" w:eastAsia="Times New Roman" w:hAnsi="Times New Roman" w:cs="Times New Roman"/>
        </w:rPr>
      </w:pPr>
    </w:p>
    <w:p w14:paraId="00000063" w14:textId="77777777" w:rsidR="005423CE" w:rsidRDefault="005423CE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</w:p>
    <w:p w14:paraId="00000064" w14:textId="77777777" w:rsidR="005423CE" w:rsidRDefault="005423CE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</w:p>
    <w:p w14:paraId="00000065" w14:textId="77777777" w:rsidR="005423CE" w:rsidRDefault="005423CE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</w:p>
    <w:p w14:paraId="00000066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br/>
        <w:t>Článek IX</w:t>
      </w:r>
    </w:p>
    <w:p w14:paraId="00000067" w14:textId="77777777" w:rsidR="005423CE" w:rsidRDefault="001D7E6D">
      <w:pPr>
        <w:spacing w:after="0" w:line="288" w:lineRule="auto"/>
        <w:ind w:left="135" w:right="108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Doba zřízení služby přístupu </w:t>
      </w:r>
      <w:proofErr w:type="gramStart"/>
      <w:r>
        <w:rPr>
          <w:rFonts w:ascii="Times New Roman" w:eastAsia="Times New Roman" w:hAnsi="Times New Roman" w:cs="Times New Roman"/>
          <w:b/>
        </w:rPr>
        <w:t>Partnerem ,včetně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změny typu př</w:t>
      </w:r>
      <w:r>
        <w:rPr>
          <w:rFonts w:ascii="Times New Roman" w:eastAsia="Times New Roman" w:hAnsi="Times New Roman" w:cs="Times New Roman"/>
          <w:b/>
        </w:rPr>
        <w:t>ístupu – migrace a doby pro změnu poskytovatele služby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</w:rPr>
        <w:br/>
        <w:t xml:space="preserve">Maximální doba pro zřízení služby Partnerem u koncového zákazníka Partnera (KZP) pro všechny typy přístupu je 30 dní. </w:t>
      </w:r>
      <w:r>
        <w:rPr>
          <w:rFonts w:ascii="Times New Roman" w:eastAsia="Times New Roman" w:hAnsi="Times New Roman" w:cs="Times New Roman"/>
        </w:rPr>
        <w:br/>
        <w:t>Partner garantuje maximální dobu pro změnu poskytovatele služby u KZP 9 pracovníc</w:t>
      </w:r>
      <w:r>
        <w:rPr>
          <w:rFonts w:ascii="Times New Roman" w:eastAsia="Times New Roman" w:hAnsi="Times New Roman" w:cs="Times New Roman"/>
        </w:rPr>
        <w:t xml:space="preserve">h dnů. </w:t>
      </w:r>
      <w:r>
        <w:rPr>
          <w:rFonts w:ascii="Times New Roman" w:eastAsia="Times New Roman" w:hAnsi="Times New Roman" w:cs="Times New Roman"/>
        </w:rPr>
        <w:br/>
        <w:t>Partner umožní migraci mezi jednotlivými typy přístupu v pouze nezbytně nutných lhůtách tak, aby došlo k minimálnímu výpadku anebo přerušení v poskytování služeb v koncovém bodě.</w:t>
      </w:r>
    </w:p>
    <w:p w14:paraId="00000068" w14:textId="77777777" w:rsidR="005423CE" w:rsidRDefault="001D7E6D">
      <w:pPr>
        <w:spacing w:after="0" w:line="288" w:lineRule="auto"/>
        <w:ind w:left="135" w:right="1082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</w:rPr>
        <w:t>Partner  garantuje</w:t>
      </w:r>
      <w:proofErr w:type="gramEnd"/>
      <w:r>
        <w:rPr>
          <w:rFonts w:ascii="Times New Roman" w:eastAsia="Times New Roman" w:hAnsi="Times New Roman" w:cs="Times New Roman"/>
        </w:rPr>
        <w:t xml:space="preserve"> minimální měsíční dostupnost služby u KZP pro všec</w:t>
      </w:r>
      <w:r>
        <w:rPr>
          <w:rFonts w:ascii="Times New Roman" w:eastAsia="Times New Roman" w:hAnsi="Times New Roman" w:cs="Times New Roman"/>
        </w:rPr>
        <w:t xml:space="preserve">hny typy přístupu na 98,5 % , přičemž měsíční dostupnost služby se počítá dle Článek V této přílohy.  </w:t>
      </w:r>
    </w:p>
    <w:p w14:paraId="00000069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</w:r>
    </w:p>
    <w:p w14:paraId="0000006A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color w:val="2D73B6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Článek X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 xml:space="preserve"> Kvalita Služby</w:t>
      </w:r>
    </w:p>
    <w:p w14:paraId="0000006B" w14:textId="77777777" w:rsidR="005423CE" w:rsidRDefault="001D7E6D">
      <w:pPr>
        <w:widowControl w:val="0"/>
        <w:spacing w:before="269" w:after="0" w:line="240" w:lineRule="auto"/>
        <w:ind w:left="1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Partner garantuje hraniční hodnoty chybovosti (ztrátovost) a zpoždění paketů /rámců KZP v souladu s dokumentem ČTÚ Metodika pr</w:t>
      </w:r>
      <w:r>
        <w:rPr>
          <w:rFonts w:ascii="Times New Roman" w:eastAsia="Times New Roman" w:hAnsi="Times New Roman" w:cs="Times New Roman"/>
        </w:rPr>
        <w:t>o měření a vyhodnocení datových parametrů pevných komunikačních sítí viz. Příloha 2 - ČTÚ Metodika pro měření</w:t>
      </w:r>
      <w:r>
        <w:rPr>
          <w:rFonts w:ascii="Times New Roman" w:eastAsia="Times New Roman" w:hAnsi="Times New Roman" w:cs="Times New Roman"/>
        </w:rPr>
        <w:br/>
      </w:r>
    </w:p>
    <w:p w14:paraId="0000006C" w14:textId="77777777" w:rsidR="005423CE" w:rsidRDefault="005423CE">
      <w:pPr>
        <w:widowControl w:val="0"/>
        <w:tabs>
          <w:tab w:val="left" w:pos="60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6D" w14:textId="77777777" w:rsidR="005423CE" w:rsidRDefault="005423CE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</w:p>
    <w:p w14:paraId="0000006E" w14:textId="77777777" w:rsidR="005423CE" w:rsidRDefault="005423CE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</w:p>
    <w:p w14:paraId="0000006F" w14:textId="77777777" w:rsidR="005423CE" w:rsidRDefault="005423CE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</w:p>
    <w:p w14:paraId="00000070" w14:textId="77777777" w:rsidR="005423CE" w:rsidRDefault="001D7E6D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  <w:color w:val="2D73B6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Článek XI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 xml:space="preserve"> Doba opravy Služby</w:t>
      </w:r>
    </w:p>
    <w:p w14:paraId="00000071" w14:textId="77777777" w:rsidR="005423CE" w:rsidRDefault="001D7E6D">
      <w:pPr>
        <w:widowControl w:val="0"/>
        <w:spacing w:before="269"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Partner garantuje maximální dobu opravy pro jednotlivé typy přístupu KZP, tak jak je uvedena v následující tabulce:</w:t>
      </w:r>
    </w:p>
    <w:p w14:paraId="00000072" w14:textId="77777777" w:rsidR="005423CE" w:rsidRDefault="005423CE">
      <w:pPr>
        <w:widowControl w:val="0"/>
        <w:spacing w:before="269"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</w:p>
    <w:p w14:paraId="00000073" w14:textId="77777777" w:rsidR="005423CE" w:rsidRDefault="005423CE">
      <w:pPr>
        <w:widowControl w:val="0"/>
        <w:spacing w:before="269"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152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9"/>
        <w:gridCol w:w="2261"/>
        <w:gridCol w:w="2325"/>
        <w:gridCol w:w="2277"/>
      </w:tblGrid>
      <w:tr w:rsidR="005423CE" w14:paraId="7E5B40D0" w14:textId="77777777">
        <w:tc>
          <w:tcPr>
            <w:tcW w:w="2289" w:type="dxa"/>
            <w:shd w:val="clear" w:color="auto" w:fill="F2F2F2"/>
          </w:tcPr>
          <w:p w14:paraId="00000074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Přístup k pasivní infrastruktuře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kabelovody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chráničky, nenasvícené optické vlákno)</w:t>
            </w:r>
          </w:p>
        </w:tc>
        <w:tc>
          <w:tcPr>
            <w:tcW w:w="2261" w:type="dxa"/>
            <w:shd w:val="clear" w:color="auto" w:fill="F2F2F2"/>
          </w:tcPr>
          <w:p w14:paraId="00000075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Fyzické zpřístupnění účastnického vedení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jehoúseku</w:t>
            </w:r>
            <w:proofErr w:type="spellEnd"/>
          </w:p>
        </w:tc>
        <w:tc>
          <w:tcPr>
            <w:tcW w:w="2325" w:type="dxa"/>
            <w:shd w:val="clear" w:color="auto" w:fill="F2F2F2"/>
          </w:tcPr>
          <w:p w14:paraId="00000076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Virtuální zpřístupnění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účastnickéhovedení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VULA</w:t>
            </w:r>
          </w:p>
        </w:tc>
        <w:tc>
          <w:tcPr>
            <w:tcW w:w="2277" w:type="dxa"/>
            <w:shd w:val="clear" w:color="auto" w:fill="F2F2F2"/>
          </w:tcPr>
          <w:p w14:paraId="00000077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Bitstream</w:t>
            </w:r>
            <w:proofErr w:type="spellEnd"/>
          </w:p>
        </w:tc>
      </w:tr>
      <w:tr w:rsidR="005423CE" w14:paraId="0DD26639" w14:textId="77777777">
        <w:tc>
          <w:tcPr>
            <w:tcW w:w="2289" w:type="dxa"/>
          </w:tcPr>
          <w:p w14:paraId="00000078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výjezdu technika</w:t>
            </w:r>
          </w:p>
        </w:tc>
        <w:tc>
          <w:tcPr>
            <w:tcW w:w="2261" w:type="dxa"/>
          </w:tcPr>
          <w:p w14:paraId="00000079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výjezdu technika</w:t>
            </w:r>
          </w:p>
        </w:tc>
        <w:tc>
          <w:tcPr>
            <w:tcW w:w="2325" w:type="dxa"/>
          </w:tcPr>
          <w:p w14:paraId="0000007A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hodiny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výjezdu technika</w:t>
            </w:r>
          </w:p>
        </w:tc>
        <w:tc>
          <w:tcPr>
            <w:tcW w:w="2277" w:type="dxa"/>
          </w:tcPr>
          <w:p w14:paraId="0000007B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výjezdu technika</w:t>
            </w:r>
          </w:p>
        </w:tc>
      </w:tr>
      <w:tr w:rsidR="005423CE" w14:paraId="5BA85985" w14:textId="77777777">
        <w:tc>
          <w:tcPr>
            <w:tcW w:w="2289" w:type="dxa"/>
          </w:tcPr>
          <w:p w14:paraId="0000007C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výjezdu technika</w:t>
            </w:r>
          </w:p>
        </w:tc>
        <w:tc>
          <w:tcPr>
            <w:tcW w:w="2261" w:type="dxa"/>
          </w:tcPr>
          <w:p w14:paraId="0000007D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hodin pro 95% případů včetně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výjezdu  technika</w:t>
            </w:r>
            <w:proofErr w:type="gramEnd"/>
          </w:p>
        </w:tc>
        <w:tc>
          <w:tcPr>
            <w:tcW w:w="2325" w:type="dxa"/>
          </w:tcPr>
          <w:p w14:paraId="0000007E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výjezdutechnika</w:t>
            </w:r>
            <w:proofErr w:type="spellEnd"/>
          </w:p>
        </w:tc>
        <w:tc>
          <w:tcPr>
            <w:tcW w:w="2277" w:type="dxa"/>
          </w:tcPr>
          <w:p w14:paraId="0000007F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výjezdu technika</w:t>
            </w:r>
          </w:p>
        </w:tc>
      </w:tr>
      <w:tr w:rsidR="005423CE" w14:paraId="647F21B9" w14:textId="77777777">
        <w:tc>
          <w:tcPr>
            <w:tcW w:w="2289" w:type="dxa"/>
          </w:tcPr>
          <w:p w14:paraId="00000080" w14:textId="77777777" w:rsidR="005423CE" w:rsidRDefault="005423CE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00000081" w14:textId="77777777" w:rsidR="005423CE" w:rsidRDefault="005423CE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00000082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výjezdutechnika</w:t>
            </w:r>
            <w:proofErr w:type="spellEnd"/>
          </w:p>
        </w:tc>
        <w:tc>
          <w:tcPr>
            <w:tcW w:w="2277" w:type="dxa"/>
          </w:tcPr>
          <w:p w14:paraId="00000083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bez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výjezdutechnika</w:t>
            </w:r>
            <w:proofErr w:type="spellEnd"/>
          </w:p>
        </w:tc>
      </w:tr>
      <w:tr w:rsidR="005423CE" w14:paraId="7C3DB150" w14:textId="77777777">
        <w:tc>
          <w:tcPr>
            <w:tcW w:w="2289" w:type="dxa"/>
          </w:tcPr>
          <w:p w14:paraId="00000084" w14:textId="77777777" w:rsidR="005423CE" w:rsidRDefault="005423CE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00000085" w14:textId="77777777" w:rsidR="005423CE" w:rsidRDefault="005423CE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00000086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výjezdu technika</w:t>
            </w:r>
          </w:p>
        </w:tc>
        <w:tc>
          <w:tcPr>
            <w:tcW w:w="2277" w:type="dxa"/>
          </w:tcPr>
          <w:p w14:paraId="00000087" w14:textId="77777777" w:rsidR="005423CE" w:rsidRDefault="001D7E6D">
            <w:pPr>
              <w:widowControl w:val="0"/>
              <w:spacing w:before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hodin pro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70%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případů včetně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výjezdutechnika</w:t>
            </w:r>
            <w:proofErr w:type="spellEnd"/>
          </w:p>
        </w:tc>
      </w:tr>
    </w:tbl>
    <w:p w14:paraId="00000088" w14:textId="77777777" w:rsidR="005423CE" w:rsidRDefault="001D7E6D">
      <w:pPr>
        <w:widowControl w:val="0"/>
        <w:spacing w:before="269" w:after="0" w:line="240" w:lineRule="auto"/>
        <w:ind w:left="13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br/>
        <w:t>Článek XII</w:t>
      </w:r>
    </w:p>
    <w:p w14:paraId="00000089" w14:textId="77777777" w:rsidR="005423CE" w:rsidRDefault="001D7E6D">
      <w:pPr>
        <w:tabs>
          <w:tab w:val="left" w:pos="284"/>
        </w:tabs>
        <w:spacing w:after="0" w:line="240" w:lineRule="auto"/>
        <w:ind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Měs</w:t>
      </w:r>
      <w:r>
        <w:rPr>
          <w:rFonts w:ascii="Times New Roman" w:eastAsia="Times New Roman" w:hAnsi="Times New Roman" w:cs="Times New Roman"/>
          <w:b/>
        </w:rPr>
        <w:t>íční dostupnost předávacího rozhraní služeb</w:t>
      </w:r>
    </w:p>
    <w:p w14:paraId="0000008A" w14:textId="77777777" w:rsidR="005423CE" w:rsidRDefault="005423CE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14:paraId="0000008B" w14:textId="77777777" w:rsidR="005423CE" w:rsidRDefault="001D7E6D">
      <w:pPr>
        <w:widowControl w:val="0"/>
        <w:spacing w:after="0" w:line="240" w:lineRule="auto"/>
        <w:ind w:left="135" w:right="1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Partner garantuje minimální měsíční dostupnost a maximální dobu opravy předávacího rozhraní služeb (síťové rozhraní mezi sítí RADYNET a sítí Partnera) v souladu s následující tabulkou.</w:t>
      </w:r>
      <w:r>
        <w:rPr>
          <w:rFonts w:ascii="Times New Roman" w:eastAsia="Times New Roman" w:hAnsi="Times New Roman" w:cs="Times New Roman"/>
        </w:rPr>
        <w:br/>
      </w:r>
    </w:p>
    <w:p w14:paraId="0000008C" w14:textId="77777777" w:rsidR="005423CE" w:rsidRDefault="001D7E6D">
      <w:pPr>
        <w:widowControl w:val="0"/>
        <w:spacing w:after="0" w:line="240" w:lineRule="auto"/>
        <w:ind w:left="13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415890" cy="990600"/>
            <wp:effectExtent l="0" t="0" r="0" b="0"/>
            <wp:docPr id="769949089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15890" cy="99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 xml:space="preserve">za </w:t>
      </w:r>
      <w:proofErr w:type="spellStart"/>
      <w:r>
        <w:rPr>
          <w:rFonts w:ascii="Times New Roman" w:eastAsia="Times New Roman" w:hAnsi="Times New Roman" w:cs="Times New Roman"/>
        </w:rPr>
        <w:t>Radynet</w:t>
      </w:r>
      <w:proofErr w:type="spellEnd"/>
      <w:r>
        <w:rPr>
          <w:rFonts w:ascii="Times New Roman" w:eastAsia="Times New Roman" w:hAnsi="Times New Roman" w:cs="Times New Roman"/>
        </w:rPr>
        <w:t xml:space="preserve"> s.r.o.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za Partnera </w:t>
      </w:r>
    </w:p>
    <w:p w14:paraId="0000008D" w14:textId="77777777" w:rsidR="005423CE" w:rsidRDefault="005423CE"/>
    <w:sectPr w:rsidR="005423CE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FCC7D" w14:textId="77777777" w:rsidR="001D7E6D" w:rsidRDefault="001D7E6D">
      <w:pPr>
        <w:spacing w:after="0" w:line="240" w:lineRule="auto"/>
      </w:pPr>
      <w:r>
        <w:separator/>
      </w:r>
    </w:p>
  </w:endnote>
  <w:endnote w:type="continuationSeparator" w:id="0">
    <w:p w14:paraId="78E62AF1" w14:textId="77777777" w:rsidR="001D7E6D" w:rsidRDefault="001D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auto"/>
    <w:pitch w:val="default"/>
  </w:font>
  <w:font w:name="Aptos Display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eo Sans Std">
    <w:altName w:val="Calibri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087B" w14:textId="77777777" w:rsidR="001D7E6D" w:rsidRDefault="001D7E6D">
      <w:pPr>
        <w:spacing w:after="0" w:line="240" w:lineRule="auto"/>
      </w:pPr>
      <w:r>
        <w:separator/>
      </w:r>
    </w:p>
  </w:footnote>
  <w:footnote w:type="continuationSeparator" w:id="0">
    <w:p w14:paraId="1F3DE46F" w14:textId="77777777" w:rsidR="001D7E6D" w:rsidRDefault="001D7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E" w14:textId="77777777" w:rsidR="005423CE" w:rsidRDefault="005423C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2"/>
      <w:tblW w:w="10072" w:type="dxa"/>
      <w:tblInd w:w="-432" w:type="dxa"/>
      <w:tblLayout w:type="fixed"/>
      <w:tblLook w:val="0000" w:firstRow="0" w:lastRow="0" w:firstColumn="0" w:lastColumn="0" w:noHBand="0" w:noVBand="0"/>
    </w:tblPr>
    <w:tblGrid>
      <w:gridCol w:w="4118"/>
      <w:gridCol w:w="5954"/>
    </w:tblGrid>
    <w:tr w:rsidR="005423CE" w14:paraId="3308E756" w14:textId="77777777">
      <w:trPr>
        <w:trHeight w:val="1013"/>
      </w:trPr>
      <w:tc>
        <w:tcPr>
          <w:tcW w:w="4118" w:type="dxa"/>
        </w:tcPr>
        <w:p w14:paraId="0000008F" w14:textId="77777777" w:rsidR="005423CE" w:rsidRDefault="001D7E6D">
          <w:pPr>
            <w:tabs>
              <w:tab w:val="center" w:pos="4536"/>
              <w:tab w:val="right" w:pos="9072"/>
            </w:tabs>
            <w:spacing w:after="0" w:line="240" w:lineRule="auto"/>
            <w:ind w:right="360" w:firstLine="148"/>
            <w:rPr>
              <w:rFonts w:ascii="Neo Sans Std" w:eastAsia="Neo Sans Std" w:hAnsi="Neo Sans Std" w:cs="Neo Sans Std"/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-8254</wp:posOffset>
                </wp:positionH>
                <wp:positionV relativeFrom="paragraph">
                  <wp:posOffset>26670</wp:posOffset>
                </wp:positionV>
                <wp:extent cx="2228850" cy="600075"/>
                <wp:effectExtent l="0" t="0" r="0" b="0"/>
                <wp:wrapNone/>
                <wp:docPr id="76994908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850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54" w:type="dxa"/>
        </w:tcPr>
        <w:p w14:paraId="00000090" w14:textId="77777777" w:rsidR="005423CE" w:rsidRDefault="001D7E6D">
          <w:pPr>
            <w:tabs>
              <w:tab w:val="center" w:pos="4536"/>
              <w:tab w:val="right" w:pos="9072"/>
            </w:tabs>
            <w:spacing w:after="0" w:line="240" w:lineRule="auto"/>
            <w:ind w:left="-954" w:right="72"/>
            <w:jc w:val="right"/>
            <w:rPr>
              <w:rFonts w:ascii="Open Sans" w:eastAsia="Open Sans" w:hAnsi="Open Sans" w:cs="Open Sans"/>
              <w:b/>
              <w:sz w:val="16"/>
              <w:szCs w:val="16"/>
            </w:rPr>
          </w:pPr>
          <w:r>
            <w:rPr>
              <w:rFonts w:ascii="Neo Sans Std" w:eastAsia="Neo Sans Std" w:hAnsi="Neo Sans Std" w:cs="Neo Sans Std"/>
              <w:sz w:val="18"/>
              <w:szCs w:val="18"/>
            </w:rPr>
            <w:br/>
          </w:r>
          <w:r>
            <w:rPr>
              <w:rFonts w:ascii="Open Sans" w:eastAsia="Open Sans" w:hAnsi="Open Sans" w:cs="Open Sans"/>
              <w:sz w:val="16"/>
              <w:szCs w:val="16"/>
            </w:rPr>
            <w:t>Tyršova 158, Spálené Poříčí 335 61, IČ:</w:t>
          </w:r>
          <w:r>
            <w:t xml:space="preserve"> </w:t>
          </w:r>
          <w:r>
            <w:rPr>
              <w:rFonts w:ascii="Open Sans" w:eastAsia="Open Sans" w:hAnsi="Open Sans" w:cs="Open Sans"/>
              <w:sz w:val="16"/>
              <w:szCs w:val="16"/>
            </w:rPr>
            <w:t>02757125, DIČ: CZ02757125</w:t>
          </w:r>
        </w:p>
        <w:p w14:paraId="00000091" w14:textId="77777777" w:rsidR="005423CE" w:rsidRDefault="001D7E6D">
          <w:pPr>
            <w:tabs>
              <w:tab w:val="center" w:pos="4536"/>
              <w:tab w:val="right" w:pos="9072"/>
            </w:tabs>
            <w:spacing w:after="0" w:line="240" w:lineRule="auto"/>
            <w:ind w:left="-954" w:right="72"/>
            <w:jc w:val="right"/>
            <w:rPr>
              <w:rFonts w:ascii="Open Sans" w:eastAsia="Open Sans" w:hAnsi="Open Sans" w:cs="Open Sans"/>
              <w:sz w:val="16"/>
              <w:szCs w:val="16"/>
            </w:rPr>
          </w:pPr>
          <w:r>
            <w:rPr>
              <w:rFonts w:ascii="Open Sans" w:eastAsia="Open Sans" w:hAnsi="Open Sans" w:cs="Open Sans"/>
              <w:sz w:val="16"/>
              <w:szCs w:val="16"/>
            </w:rPr>
            <w:t xml:space="preserve">e-mail: </w:t>
          </w:r>
          <w:hyperlink r:id="rId2">
            <w:r>
              <w:rPr>
                <w:rFonts w:ascii="Open Sans" w:eastAsia="Open Sans" w:hAnsi="Open Sans" w:cs="Open Sans"/>
                <w:color w:val="00B0F0"/>
                <w:sz w:val="16"/>
                <w:szCs w:val="16"/>
                <w:u w:val="single"/>
              </w:rPr>
              <w:t>kontakt@internethned.cz</w:t>
            </w:r>
          </w:hyperlink>
          <w:r>
            <w:rPr>
              <w:rFonts w:ascii="Open Sans" w:eastAsia="Open Sans" w:hAnsi="Open Sans" w:cs="Open Sans"/>
              <w:sz w:val="16"/>
              <w:szCs w:val="16"/>
            </w:rPr>
            <w:br/>
            <w:t xml:space="preserve">web: </w:t>
          </w:r>
          <w:hyperlink r:id="rId3">
            <w:r>
              <w:rPr>
                <w:rFonts w:ascii="Open Sans" w:eastAsia="Open Sans" w:hAnsi="Open Sans" w:cs="Open Sans"/>
                <w:color w:val="00B0F0"/>
                <w:sz w:val="16"/>
                <w:szCs w:val="16"/>
                <w:u w:val="single"/>
              </w:rPr>
              <w:t>www.radynet.cz</w:t>
            </w:r>
          </w:hyperlink>
        </w:p>
        <w:p w14:paraId="00000092" w14:textId="77777777" w:rsidR="005423CE" w:rsidRDefault="001D7E6D">
          <w:pPr>
            <w:tabs>
              <w:tab w:val="center" w:pos="4536"/>
              <w:tab w:val="right" w:pos="9072"/>
            </w:tabs>
            <w:spacing w:after="0" w:line="240" w:lineRule="auto"/>
            <w:ind w:left="-954" w:right="72"/>
            <w:jc w:val="right"/>
            <w:rPr>
              <w:rFonts w:ascii="Neo Sans Std" w:eastAsia="Neo Sans Std" w:hAnsi="Neo Sans Std" w:cs="Neo Sans Std"/>
              <w:b/>
              <w:color w:val="38761D"/>
              <w:sz w:val="14"/>
              <w:szCs w:val="14"/>
            </w:rPr>
          </w:pPr>
          <w:r>
            <w:rPr>
              <w:rFonts w:ascii="Open Sans" w:eastAsia="Open Sans" w:hAnsi="Open Sans" w:cs="Open Sans"/>
              <w:sz w:val="16"/>
              <w:szCs w:val="16"/>
            </w:rPr>
            <w:t xml:space="preserve">tel.: </w:t>
          </w:r>
          <w:r>
            <w:rPr>
              <w:rFonts w:ascii="Open Sans" w:eastAsia="Open Sans" w:hAnsi="Open Sans" w:cs="Open Sans"/>
              <w:b/>
              <w:color w:val="92D050"/>
              <w:sz w:val="16"/>
              <w:szCs w:val="16"/>
            </w:rPr>
            <w:t>800 753 753</w:t>
          </w:r>
        </w:p>
      </w:tc>
    </w:tr>
  </w:tbl>
  <w:p w14:paraId="00000093" w14:textId="77777777" w:rsidR="005423CE" w:rsidRDefault="005423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3CE"/>
    <w:rsid w:val="00034A11"/>
    <w:rsid w:val="001D7E6D"/>
    <w:rsid w:val="0054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28FB3-5B04-4544-8A78-978839F72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2"/>
        <w:szCs w:val="22"/>
        <w:lang w:val="cs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423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423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23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23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23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23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23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23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23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F423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F423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423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23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23F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23F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23F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23F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23F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23FA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link w:val="Nzev"/>
    <w:uiPriority w:val="10"/>
    <w:rsid w:val="00F423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Pr>
      <w:color w:val="595959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423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423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423F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423F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423F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423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423F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423FA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23FA"/>
  </w:style>
  <w:style w:type="paragraph" w:styleId="Zpat">
    <w:name w:val="footer"/>
    <w:basedOn w:val="Normln"/>
    <w:link w:val="ZpatChar"/>
    <w:uiPriority w:val="99"/>
    <w:unhideWhenUsed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23FA"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ternethned.cz" TargetMode="External"/><Relationship Id="rId2" Type="http://schemas.openxmlformats.org/officeDocument/2006/relationships/hyperlink" Target="mailto:kontakt@internethned.cz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utwYy+H1+uC1UrO7ELcYs4TVxA==">CgMxLjA4AHIhMWVRQzJlRFhSWXpFU25QRy1Qem00NHRKUGJtVndsOG9I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907</Words>
  <Characters>5357</Characters>
  <Application>Microsoft Office Word</Application>
  <DocSecurity>0</DocSecurity>
  <Lines>44</Lines>
  <Paragraphs>12</Paragraphs>
  <ScaleCrop>false</ScaleCrop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Větrovcová</dc:creator>
  <cp:lastModifiedBy>Libor Sedlák</cp:lastModifiedBy>
  <cp:revision>2</cp:revision>
  <dcterms:created xsi:type="dcterms:W3CDTF">2024-04-11T07:57:00Z</dcterms:created>
  <dcterms:modified xsi:type="dcterms:W3CDTF">2025-01-28T21:03:00Z</dcterms:modified>
</cp:coreProperties>
</file>